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afterAutospacing="0" w:line="460" w:lineRule="exact"/>
        <w:jc w:val="left"/>
        <w:textAlignment w:val="auto"/>
        <w:rPr>
          <w:rFonts w:hint="eastAsia" w:ascii="仿宋_GB2312" w:hAnsi="仿宋_GB2312" w:eastAsia="仿宋_GB2312" w:cs="仿宋_GB2312"/>
          <w:b w:val="0"/>
          <w:bCs w:val="0"/>
          <w:color w:val="auto"/>
          <w:sz w:val="28"/>
          <w:szCs w:val="28"/>
          <w:highlight w:val="none"/>
          <w:lang w:eastAsia="zh-CN"/>
        </w:rPr>
      </w:pPr>
      <w:bookmarkStart w:id="60" w:name="_GoBack"/>
      <w:r>
        <w:rPr>
          <w:rStyle w:val="8"/>
          <w:rFonts w:hint="eastAsia" w:ascii="仿宋_GB2312" w:hAnsi="仿宋_GB2312" w:eastAsia="仿宋_GB2312" w:cs="仿宋_GB2312"/>
          <w:b/>
          <w:bCs/>
          <w:i w:val="0"/>
          <w:iCs w:val="0"/>
          <w:caps w:val="0"/>
          <w:color w:val="auto"/>
          <w:spacing w:val="0"/>
          <w:sz w:val="28"/>
          <w:szCs w:val="28"/>
          <w:highlight w:val="none"/>
          <w:shd w:val="clear" w:fill="FFFFFF"/>
        </w:rPr>
        <w:t>  </w:t>
      </w:r>
      <w:r>
        <w:rPr>
          <w:rFonts w:hint="eastAsia" w:ascii="仿宋_GB2312" w:hAnsi="仿宋_GB2312" w:eastAsia="仿宋_GB2312" w:cs="仿宋_GB2312"/>
          <w:b w:val="0"/>
          <w:bCs w:val="0"/>
          <w:color w:val="auto"/>
          <w:sz w:val="28"/>
          <w:szCs w:val="28"/>
          <w:highlight w:val="none"/>
          <w:lang w:eastAsia="zh-CN"/>
        </w:rPr>
        <w:t>附件：</w:t>
      </w:r>
    </w:p>
    <w:p>
      <w:pPr>
        <w:keepNext w:val="0"/>
        <w:keepLines w:val="0"/>
        <w:pageBreakBefore w:val="0"/>
        <w:widowControl w:val="0"/>
        <w:kinsoku/>
        <w:wordWrap/>
        <w:overflowPunct/>
        <w:topLinePunct w:val="0"/>
        <w:autoSpaceDE/>
        <w:autoSpaceDN/>
        <w:bidi w:val="0"/>
        <w:adjustRightInd/>
        <w:snapToGrid/>
        <w:spacing w:afterAutospacing="0" w:line="460" w:lineRule="exact"/>
        <w:jc w:val="center"/>
        <w:textAlignment w:val="auto"/>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b w:val="0"/>
          <w:bCs w:val="0"/>
          <w:color w:val="auto"/>
          <w:sz w:val="36"/>
          <w:szCs w:val="36"/>
          <w:highlight w:val="none"/>
        </w:rPr>
        <w:t>采购需求</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一、概述</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60" w:lineRule="exact"/>
        <w:ind w:left="0" w:firstLine="560" w:firstLineChars="20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r>
        <w:rPr>
          <w:rFonts w:hint="eastAsia" w:ascii="仿宋_GB2312" w:hAnsi="仿宋_GB2312" w:eastAsia="仿宋_GB2312" w:cs="仿宋_GB2312"/>
          <w:i w:val="0"/>
          <w:iCs w:val="0"/>
          <w:caps w:val="0"/>
          <w:color w:val="auto"/>
          <w:spacing w:val="0"/>
          <w:sz w:val="28"/>
          <w:szCs w:val="28"/>
          <w:highlight w:val="none"/>
          <w:lang w:val="en-US" w:eastAsia="zh-CN"/>
        </w:rPr>
        <w:t>本项目需采购一套防火墙，主要对固废站视频监控平台网络安全防护。系统具备保障用户核心资产为目标，提供L2-L7层各类威胁的检测和防护，是一款能够有效应对传统网络攻击和未知威胁攻击的网络安全产品。</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二、技术需求</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2" w:firstLineChars="200"/>
        <w:jc w:val="left"/>
        <w:textAlignment w:val="auto"/>
        <w:rPr>
          <w:rFonts w:hint="eastAsia" w:ascii="仿宋_GB2312" w:hAnsi="仿宋_GB2312" w:eastAsia="仿宋_GB2312" w:cs="仿宋_GB2312"/>
          <w:b/>
          <w:bCs/>
          <w:i w:val="0"/>
          <w:iCs w:val="0"/>
          <w:caps w:val="0"/>
          <w:color w:val="auto"/>
          <w:spacing w:val="0"/>
          <w:sz w:val="28"/>
          <w:szCs w:val="28"/>
          <w:highlight w:val="none"/>
          <w:lang w:val="en-US" w:eastAsia="zh-CN"/>
        </w:rPr>
      </w:pPr>
      <w:r>
        <w:rPr>
          <w:rFonts w:hint="eastAsia" w:ascii="仿宋_GB2312" w:hAnsi="仿宋_GB2312" w:eastAsia="仿宋_GB2312" w:cs="仿宋_GB2312"/>
          <w:b/>
          <w:bCs/>
          <w:i w:val="0"/>
          <w:iCs w:val="0"/>
          <w:caps w:val="0"/>
          <w:color w:val="auto"/>
          <w:spacing w:val="0"/>
          <w:sz w:val="28"/>
          <w:szCs w:val="28"/>
          <w:highlight w:val="none"/>
          <w:lang w:val="en-US" w:eastAsia="zh-CN"/>
        </w:rPr>
        <w:t>（一）性能参数：</w:t>
      </w:r>
    </w:p>
    <w:p>
      <w:pPr>
        <w:pStyle w:val="5"/>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r>
        <w:rPr>
          <w:rFonts w:hint="eastAsia" w:ascii="仿宋_GB2312" w:hAnsi="仿宋_GB2312" w:eastAsia="仿宋_GB2312" w:cs="仿宋_GB2312"/>
          <w:i w:val="0"/>
          <w:iCs w:val="0"/>
          <w:caps w:val="0"/>
          <w:color w:val="auto"/>
          <w:spacing w:val="0"/>
          <w:sz w:val="28"/>
          <w:szCs w:val="28"/>
          <w:highlight w:val="none"/>
          <w:lang w:val="en-US" w:eastAsia="zh-CN"/>
        </w:rPr>
        <w:t>网络层大包吞吐量（1518字节）：</w:t>
      </w:r>
      <w:r>
        <w:rPr>
          <w:rFonts w:hint="eastAsia" w:ascii="仿宋_GB2312" w:hAnsi="仿宋_GB2312" w:eastAsia="仿宋_GB2312" w:cs="仿宋_GB2312"/>
          <w:b/>
          <w:color w:val="auto"/>
          <w:sz w:val="28"/>
          <w:szCs w:val="28"/>
          <w:highlight w:val="none"/>
        </w:rPr>
        <w:t>≥</w:t>
      </w:r>
      <w:r>
        <w:rPr>
          <w:rFonts w:hint="eastAsia" w:ascii="仿宋_GB2312" w:hAnsi="仿宋_GB2312" w:eastAsia="仿宋_GB2312" w:cs="仿宋_GB2312"/>
          <w:i w:val="0"/>
          <w:iCs w:val="0"/>
          <w:caps w:val="0"/>
          <w:color w:val="auto"/>
          <w:spacing w:val="0"/>
          <w:sz w:val="28"/>
          <w:szCs w:val="28"/>
          <w:highlight w:val="none"/>
          <w:lang w:val="en-US" w:eastAsia="zh-CN"/>
        </w:rPr>
        <w:t>10G，</w:t>
      </w:r>
    </w:p>
    <w:p>
      <w:pPr>
        <w:pStyle w:val="5"/>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r>
        <w:rPr>
          <w:rFonts w:hint="eastAsia" w:ascii="仿宋_GB2312" w:hAnsi="仿宋_GB2312" w:eastAsia="仿宋_GB2312" w:cs="仿宋_GB2312"/>
          <w:i w:val="0"/>
          <w:iCs w:val="0"/>
          <w:caps w:val="0"/>
          <w:color w:val="auto"/>
          <w:spacing w:val="0"/>
          <w:sz w:val="28"/>
          <w:szCs w:val="28"/>
          <w:highlight w:val="none"/>
          <w:lang w:val="en-US" w:eastAsia="zh-CN"/>
        </w:rPr>
        <w:t>IPS吞吐量：</w:t>
      </w:r>
      <w:r>
        <w:rPr>
          <w:rFonts w:hint="eastAsia" w:ascii="仿宋_GB2312" w:hAnsi="仿宋_GB2312" w:eastAsia="仿宋_GB2312" w:cs="仿宋_GB2312"/>
          <w:b/>
          <w:color w:val="auto"/>
          <w:sz w:val="28"/>
          <w:szCs w:val="28"/>
          <w:highlight w:val="none"/>
        </w:rPr>
        <w:t>≥</w:t>
      </w:r>
      <w:r>
        <w:rPr>
          <w:rFonts w:hint="eastAsia" w:ascii="仿宋_GB2312" w:hAnsi="仿宋_GB2312" w:eastAsia="仿宋_GB2312" w:cs="仿宋_GB2312"/>
          <w:i w:val="0"/>
          <w:iCs w:val="0"/>
          <w:caps w:val="0"/>
          <w:color w:val="auto"/>
          <w:spacing w:val="0"/>
          <w:sz w:val="28"/>
          <w:szCs w:val="28"/>
          <w:highlight w:val="none"/>
          <w:lang w:val="en-US" w:eastAsia="zh-CN"/>
        </w:rPr>
        <w:t>1G，</w:t>
      </w:r>
    </w:p>
    <w:p>
      <w:pPr>
        <w:pStyle w:val="5"/>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r>
        <w:rPr>
          <w:rFonts w:hint="eastAsia" w:ascii="仿宋_GB2312" w:hAnsi="仿宋_GB2312" w:eastAsia="仿宋_GB2312" w:cs="仿宋_GB2312"/>
          <w:i w:val="0"/>
          <w:iCs w:val="0"/>
          <w:caps w:val="0"/>
          <w:color w:val="auto"/>
          <w:spacing w:val="0"/>
          <w:sz w:val="28"/>
          <w:szCs w:val="28"/>
          <w:highlight w:val="none"/>
          <w:lang w:val="en-US" w:eastAsia="zh-CN"/>
        </w:rPr>
        <w:t>AV吞吐量：</w:t>
      </w:r>
      <w:r>
        <w:rPr>
          <w:rFonts w:hint="eastAsia" w:ascii="仿宋_GB2312" w:hAnsi="仿宋_GB2312" w:eastAsia="仿宋_GB2312" w:cs="仿宋_GB2312"/>
          <w:b/>
          <w:color w:val="auto"/>
          <w:sz w:val="28"/>
          <w:szCs w:val="28"/>
          <w:highlight w:val="none"/>
        </w:rPr>
        <w:t>≥</w:t>
      </w:r>
      <w:r>
        <w:rPr>
          <w:rFonts w:hint="eastAsia" w:ascii="仿宋_GB2312" w:hAnsi="仿宋_GB2312" w:eastAsia="仿宋_GB2312" w:cs="仿宋_GB2312"/>
          <w:i w:val="0"/>
          <w:iCs w:val="0"/>
          <w:caps w:val="0"/>
          <w:color w:val="auto"/>
          <w:spacing w:val="0"/>
          <w:sz w:val="28"/>
          <w:szCs w:val="28"/>
          <w:highlight w:val="none"/>
          <w:lang w:val="en-US" w:eastAsia="zh-CN"/>
        </w:rPr>
        <w:t>1G，</w:t>
      </w:r>
    </w:p>
    <w:p>
      <w:pPr>
        <w:pStyle w:val="5"/>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r>
        <w:rPr>
          <w:rFonts w:hint="eastAsia" w:ascii="仿宋_GB2312" w:hAnsi="仿宋_GB2312" w:eastAsia="仿宋_GB2312" w:cs="仿宋_GB2312"/>
          <w:i w:val="0"/>
          <w:iCs w:val="0"/>
          <w:caps w:val="0"/>
          <w:color w:val="auto"/>
          <w:spacing w:val="0"/>
          <w:sz w:val="28"/>
          <w:szCs w:val="28"/>
          <w:highlight w:val="none"/>
          <w:lang w:val="en-US" w:eastAsia="zh-CN"/>
        </w:rPr>
        <w:t>最大并发连接数：</w:t>
      </w:r>
      <w:r>
        <w:rPr>
          <w:rFonts w:hint="eastAsia" w:ascii="仿宋_GB2312" w:hAnsi="仿宋_GB2312" w:eastAsia="仿宋_GB2312" w:cs="仿宋_GB2312"/>
          <w:b/>
          <w:color w:val="auto"/>
          <w:sz w:val="28"/>
          <w:szCs w:val="28"/>
          <w:highlight w:val="none"/>
        </w:rPr>
        <w:t>≥</w:t>
      </w:r>
      <w:r>
        <w:rPr>
          <w:rFonts w:hint="eastAsia" w:ascii="仿宋_GB2312" w:hAnsi="仿宋_GB2312" w:eastAsia="仿宋_GB2312" w:cs="仿宋_GB2312"/>
          <w:i w:val="0"/>
          <w:iCs w:val="0"/>
          <w:caps w:val="0"/>
          <w:color w:val="auto"/>
          <w:spacing w:val="0"/>
          <w:sz w:val="28"/>
          <w:szCs w:val="28"/>
          <w:highlight w:val="none"/>
          <w:lang w:val="en-US" w:eastAsia="zh-CN"/>
        </w:rPr>
        <w:t>200万，</w:t>
      </w:r>
    </w:p>
    <w:p>
      <w:pPr>
        <w:pStyle w:val="5"/>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r>
        <w:rPr>
          <w:rFonts w:hint="eastAsia" w:ascii="仿宋_GB2312" w:hAnsi="仿宋_GB2312" w:eastAsia="仿宋_GB2312" w:cs="仿宋_GB2312"/>
          <w:i w:val="0"/>
          <w:iCs w:val="0"/>
          <w:caps w:val="0"/>
          <w:color w:val="auto"/>
          <w:spacing w:val="0"/>
          <w:sz w:val="28"/>
          <w:szCs w:val="28"/>
          <w:highlight w:val="none"/>
          <w:lang w:val="en-US" w:eastAsia="zh-CN"/>
        </w:rPr>
        <w:t>最大新建连接数：</w:t>
      </w:r>
      <w:r>
        <w:rPr>
          <w:rFonts w:hint="eastAsia" w:ascii="仿宋_GB2312" w:hAnsi="仿宋_GB2312" w:eastAsia="仿宋_GB2312" w:cs="仿宋_GB2312"/>
          <w:b/>
          <w:color w:val="auto"/>
          <w:sz w:val="28"/>
          <w:szCs w:val="28"/>
          <w:highlight w:val="none"/>
        </w:rPr>
        <w:t>≥</w:t>
      </w:r>
      <w:r>
        <w:rPr>
          <w:rFonts w:hint="eastAsia" w:ascii="仿宋_GB2312" w:hAnsi="仿宋_GB2312" w:eastAsia="仿宋_GB2312" w:cs="仿宋_GB2312"/>
          <w:i w:val="0"/>
          <w:iCs w:val="0"/>
          <w:caps w:val="0"/>
          <w:color w:val="auto"/>
          <w:spacing w:val="0"/>
          <w:sz w:val="28"/>
          <w:szCs w:val="28"/>
          <w:highlight w:val="none"/>
          <w:lang w:val="en-US" w:eastAsia="zh-CN"/>
        </w:rPr>
        <w:t>6万；</w:t>
      </w:r>
    </w:p>
    <w:p>
      <w:pPr>
        <w:pStyle w:val="5"/>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r>
        <w:rPr>
          <w:rFonts w:hint="eastAsia" w:ascii="仿宋_GB2312" w:hAnsi="仿宋_GB2312" w:eastAsia="仿宋_GB2312" w:cs="仿宋_GB2312"/>
          <w:i w:val="0"/>
          <w:iCs w:val="0"/>
          <w:caps w:val="0"/>
          <w:color w:val="auto"/>
          <w:spacing w:val="0"/>
          <w:sz w:val="28"/>
          <w:szCs w:val="28"/>
          <w:highlight w:val="none"/>
          <w:lang w:val="en-US" w:eastAsia="zh-CN"/>
        </w:rPr>
        <w:t>全威胁吞吐量（不含WAF）：</w:t>
      </w:r>
      <w:r>
        <w:rPr>
          <w:rFonts w:hint="eastAsia" w:ascii="仿宋_GB2312" w:hAnsi="仿宋_GB2312" w:eastAsia="仿宋_GB2312" w:cs="仿宋_GB2312"/>
          <w:b/>
          <w:color w:val="auto"/>
          <w:sz w:val="28"/>
          <w:szCs w:val="28"/>
          <w:highlight w:val="none"/>
        </w:rPr>
        <w:t>≥</w:t>
      </w:r>
      <w:r>
        <w:rPr>
          <w:rFonts w:hint="eastAsia" w:ascii="仿宋_GB2312" w:hAnsi="仿宋_GB2312" w:eastAsia="仿宋_GB2312" w:cs="仿宋_GB2312"/>
          <w:i w:val="0"/>
          <w:iCs w:val="0"/>
          <w:caps w:val="0"/>
          <w:color w:val="auto"/>
          <w:spacing w:val="0"/>
          <w:sz w:val="28"/>
          <w:szCs w:val="28"/>
          <w:highlight w:val="none"/>
          <w:lang w:val="en-US" w:eastAsia="zh-CN"/>
        </w:rPr>
        <w:t>800M，</w:t>
      </w:r>
    </w:p>
    <w:p>
      <w:pPr>
        <w:pStyle w:val="5"/>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r>
        <w:rPr>
          <w:rFonts w:hint="eastAsia" w:ascii="仿宋_GB2312" w:hAnsi="仿宋_GB2312" w:eastAsia="仿宋_GB2312" w:cs="仿宋_GB2312"/>
          <w:i w:val="0"/>
          <w:iCs w:val="0"/>
          <w:caps w:val="0"/>
          <w:color w:val="auto"/>
          <w:spacing w:val="0"/>
          <w:sz w:val="28"/>
          <w:szCs w:val="28"/>
          <w:highlight w:val="none"/>
          <w:lang w:val="en-US" w:eastAsia="zh-CN"/>
        </w:rPr>
        <w:t>全威胁+WAF吞吐量：</w:t>
      </w:r>
      <w:r>
        <w:rPr>
          <w:rFonts w:hint="eastAsia" w:ascii="仿宋_GB2312" w:hAnsi="仿宋_GB2312" w:eastAsia="仿宋_GB2312" w:cs="仿宋_GB2312"/>
          <w:b/>
          <w:color w:val="auto"/>
          <w:sz w:val="28"/>
          <w:szCs w:val="28"/>
          <w:highlight w:val="none"/>
        </w:rPr>
        <w:t>≥</w:t>
      </w:r>
      <w:r>
        <w:rPr>
          <w:rFonts w:hint="eastAsia" w:ascii="仿宋_GB2312" w:hAnsi="仿宋_GB2312" w:eastAsia="仿宋_GB2312" w:cs="仿宋_GB2312"/>
          <w:i w:val="0"/>
          <w:iCs w:val="0"/>
          <w:caps w:val="0"/>
          <w:color w:val="auto"/>
          <w:spacing w:val="0"/>
          <w:sz w:val="28"/>
          <w:szCs w:val="28"/>
          <w:highlight w:val="none"/>
          <w:lang w:val="en-US" w:eastAsia="zh-CN"/>
        </w:rPr>
        <w:t>500M，</w:t>
      </w:r>
    </w:p>
    <w:p>
      <w:pPr>
        <w:pStyle w:val="5"/>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r>
        <w:rPr>
          <w:rFonts w:hint="eastAsia" w:ascii="仿宋_GB2312" w:hAnsi="仿宋_GB2312" w:eastAsia="仿宋_GB2312" w:cs="仿宋_GB2312"/>
          <w:i w:val="0"/>
          <w:iCs w:val="0"/>
          <w:caps w:val="0"/>
          <w:color w:val="auto"/>
          <w:spacing w:val="0"/>
          <w:sz w:val="28"/>
          <w:szCs w:val="28"/>
          <w:highlight w:val="none"/>
          <w:lang w:val="en-US" w:eastAsia="zh-CN"/>
        </w:rPr>
        <w:t>IPSec  VPN吞吐量：</w:t>
      </w:r>
      <w:r>
        <w:rPr>
          <w:rFonts w:hint="eastAsia" w:ascii="仿宋_GB2312" w:hAnsi="仿宋_GB2312" w:eastAsia="仿宋_GB2312" w:cs="仿宋_GB2312"/>
          <w:b/>
          <w:color w:val="auto"/>
          <w:sz w:val="28"/>
          <w:szCs w:val="28"/>
          <w:highlight w:val="none"/>
        </w:rPr>
        <w:t>≥</w:t>
      </w:r>
      <w:r>
        <w:rPr>
          <w:rFonts w:hint="eastAsia" w:ascii="仿宋_GB2312" w:hAnsi="仿宋_GB2312" w:eastAsia="仿宋_GB2312" w:cs="仿宋_GB2312"/>
          <w:i w:val="0"/>
          <w:iCs w:val="0"/>
          <w:caps w:val="0"/>
          <w:color w:val="auto"/>
          <w:spacing w:val="0"/>
          <w:sz w:val="28"/>
          <w:szCs w:val="28"/>
          <w:highlight w:val="none"/>
          <w:lang w:val="en-US" w:eastAsia="zh-CN"/>
        </w:rPr>
        <w:t>500M。</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2" w:firstLineChars="20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r>
        <w:rPr>
          <w:rFonts w:hint="eastAsia" w:ascii="仿宋_GB2312" w:hAnsi="仿宋_GB2312" w:eastAsia="仿宋_GB2312" w:cs="仿宋_GB2312"/>
          <w:b/>
          <w:bCs/>
          <w:i w:val="0"/>
          <w:iCs w:val="0"/>
          <w:caps w:val="0"/>
          <w:color w:val="auto"/>
          <w:spacing w:val="0"/>
          <w:sz w:val="28"/>
          <w:szCs w:val="28"/>
          <w:highlight w:val="none"/>
          <w:lang w:val="en-US" w:eastAsia="zh-CN"/>
        </w:rPr>
        <w:t>（二）硬件参数：</w:t>
      </w:r>
      <w:r>
        <w:rPr>
          <w:rFonts w:hint="eastAsia" w:ascii="仿宋_GB2312" w:hAnsi="仿宋_GB2312" w:eastAsia="仿宋_GB2312" w:cs="仿宋_GB2312"/>
          <w:i w:val="0"/>
          <w:iCs w:val="0"/>
          <w:caps w:val="0"/>
          <w:color w:val="auto"/>
          <w:spacing w:val="0"/>
          <w:sz w:val="28"/>
          <w:szCs w:val="28"/>
          <w:highlight w:val="none"/>
          <w:lang w:val="en-US" w:eastAsia="zh-CN"/>
        </w:rPr>
        <w:t>产品不少于8千兆电口+2万兆光口SFP+。</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2" w:firstLineChars="200"/>
        <w:jc w:val="left"/>
        <w:textAlignment w:val="auto"/>
        <w:rPr>
          <w:rFonts w:hint="eastAsia" w:ascii="仿宋_GB2312" w:hAnsi="仿宋_GB2312" w:eastAsia="仿宋_GB2312" w:cs="仿宋_GB2312"/>
          <w:b/>
          <w:bCs/>
          <w:i w:val="0"/>
          <w:iCs w:val="0"/>
          <w:caps w:val="0"/>
          <w:color w:val="auto"/>
          <w:spacing w:val="0"/>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（三）软件参数：</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产品支持路由类型、协议类型、网络对象、国家地区等条件进行自动选路的策略路由，支持不少于3种的调度算法，至少包括带宽比例、加权流量、线路优先等。（需提供产品功能截图证明）</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产品支持IPSec VPN智能选路功能，根据线路质量和应用实现自动链路切换选路模式支持智能负载选路、按指定顺序选路、优先使用质量最优的线路、按剩余带宽比例负载。（需提供产品功能截图证明并提供官方检测机构出具关于“SD-WAN智能选路”的证书或检测报告证明功能有效性。）</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产品支持SD-WAN组网丢包优化功能，优化互联网场景下丢包严重的问题，改善实时类应用的业务访问体验，满足用户业务稳定访问需求。（需提供产品功能截图证明并提供具备CMA、CNAS标记的第三方测试报告）</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产品支持对不少于9000种</w:t>
      </w:r>
      <w:r>
        <w:rPr>
          <w:rFonts w:hint="eastAsia" w:ascii="仿宋_GB2312" w:hAnsi="仿宋_GB2312" w:eastAsia="仿宋_GB2312" w:cs="仿宋_GB2312"/>
          <w:color w:val="auto"/>
          <w:sz w:val="28"/>
          <w:szCs w:val="28"/>
          <w:highlight w:val="none"/>
          <w:lang w:eastAsia="zh-CN"/>
        </w:rPr>
        <w:t>各类</w:t>
      </w:r>
      <w:r>
        <w:rPr>
          <w:rFonts w:hint="eastAsia" w:ascii="仿宋_GB2312" w:hAnsi="仿宋_GB2312" w:eastAsia="仿宋_GB2312" w:cs="仿宋_GB2312"/>
          <w:color w:val="auto"/>
          <w:sz w:val="28"/>
          <w:szCs w:val="28"/>
          <w:highlight w:val="none"/>
        </w:rPr>
        <w:t>应用的识别和控制。（需提供产品功能截图证明和具备CMA/CNAS标识的第三方检测报告）</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产品支持对压缩病毒文件进行检测和拦截，压缩层数支持15层及以上。（需提供产品功能截图证明）</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产品应具备独立的勒索病毒防护模块，非普通防病毒功能，支持对特定的业务进行勒索风险自动化评估，并依据评估结果自动生成防护策略，支持在设备</w:t>
      </w:r>
      <w:r>
        <w:rPr>
          <w:rFonts w:hint="eastAsia" w:ascii="仿宋_GB2312" w:hAnsi="仿宋_GB2312" w:eastAsia="仿宋_GB2312" w:cs="仿宋_GB2312"/>
          <w:color w:val="auto"/>
          <w:sz w:val="28"/>
          <w:szCs w:val="28"/>
          <w:highlight w:val="none"/>
          <w:lang w:val="en-US" w:eastAsia="zh-CN"/>
        </w:rPr>
        <w:t>界面</w:t>
      </w:r>
      <w:r>
        <w:rPr>
          <w:rFonts w:hint="eastAsia" w:ascii="仿宋_GB2312" w:hAnsi="仿宋_GB2312" w:eastAsia="仿宋_GB2312" w:cs="仿宋_GB2312"/>
          <w:color w:val="auto"/>
          <w:sz w:val="28"/>
          <w:szCs w:val="28"/>
          <w:highlight w:val="none"/>
        </w:rPr>
        <w:t>独立展示勒索风险板块。（需提供产品功能截图证明，需提供产品功能截图证明并出具关于“勒索病毒”的软件著作权证明功能有效性）。</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产品内置不低于1</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000种漏洞规则，同时支持在控制台界面通过漏洞ID、漏洞名称、危险等级、漏洞CVE标识、漏洞描述等条件查询漏洞特征信息，支持用户自定义IPS规则。（需提供产品功能截图证明和具备CMA/CNAS标识的第三方检测报告）</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t>产品支持僵尸主机检测功能，可识别主机的异常外联行为。（需提供产品功能截图证明和具备CMA/CNAS标识的第三方检测报告）</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三、服务要求</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rPr>
        <w:t>1.安装与验收：供应商需提供现场安装调试服务</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设备需要提供产品检测报告。</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.售后保障：整机质保期≥</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年，响应时间≤</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小时，一般问题</w:t>
      </w:r>
      <w:r>
        <w:rPr>
          <w:rFonts w:hint="eastAsia" w:ascii="仿宋_GB2312" w:hAnsi="仿宋_GB2312" w:eastAsia="仿宋_GB2312" w:cs="仿宋_GB2312"/>
          <w:color w:val="auto"/>
          <w:sz w:val="28"/>
          <w:szCs w:val="28"/>
          <w:highlight w:val="none"/>
          <w:lang w:val="en-US" w:eastAsia="zh-CN"/>
        </w:rPr>
        <w:t>24</w:t>
      </w:r>
      <w:r>
        <w:rPr>
          <w:rFonts w:hint="eastAsia" w:ascii="仿宋_GB2312" w:hAnsi="仿宋_GB2312" w:eastAsia="仿宋_GB2312" w:cs="仿宋_GB2312"/>
          <w:color w:val="auto"/>
          <w:sz w:val="28"/>
          <w:szCs w:val="28"/>
          <w:highlight w:val="none"/>
        </w:rPr>
        <w:t>小时内解决，重大故障提供备用机支持。</w:t>
      </w:r>
      <w:r>
        <w:rPr>
          <w:rFonts w:hint="eastAsia" w:ascii="仿宋_GB2312" w:hAnsi="仿宋_GB2312" w:eastAsia="仿宋_GB2312" w:cs="仿宋_GB2312"/>
          <w:color w:val="auto"/>
          <w:sz w:val="28"/>
          <w:szCs w:val="28"/>
          <w:highlight w:val="none"/>
        </w:rPr>
        <w:t>质保期内免费提供软件升级与应用技术支持</w:t>
      </w:r>
      <w:r>
        <w:rPr>
          <w:rFonts w:hint="eastAsia" w:ascii="仿宋_GB2312" w:hAnsi="仿宋_GB2312" w:eastAsia="仿宋_GB2312" w:cs="仿宋_GB2312"/>
          <w:color w:val="auto"/>
          <w:sz w:val="28"/>
          <w:szCs w:val="28"/>
          <w:highlight w:val="none"/>
          <w:lang w:eastAsia="zh-CN"/>
        </w:rPr>
        <w:t>及病毒库更新</w:t>
      </w:r>
      <w:r>
        <w:rPr>
          <w:rFonts w:hint="eastAsia" w:ascii="仿宋_GB2312" w:hAnsi="仿宋_GB2312"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.文件交付：提供完整的技术手册、操作说明书及原厂合格证明文件。</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4.交付日期：合同签订后30天交货。</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四、其他须知事项</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异常低价的甄别</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投标（响应）报价出现下列情形之一的，甲方应当启动异常低价投标（响应）审查程序：</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①投标（响应）报价低于全部通过符合性审查供应商投标（响应）报价平均值50%的，即投标（响应）报价&lt;全部通过符合性审查供应商投标（响应）报价平均值×50%；</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②投标（响应）报价低于通过符合性审查的次低报价供应商投标（响应）报价50%的，即投标（响应）报价&lt;通过符合性审查的次低报价供应商投标（响应）报价×50%；</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③投标（响应）报价低于采购项目最高限价45%的，即投标（响应）报价&lt;采购项目最高限价×45%；</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④评审委员会基于专业判断，认为供应商报价过低，有可能影响产品质量或者不能诚信履约的其他情形。</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甲方启动异常低价投标（响应）审查后，相关供应商自接到评标委员会的澄清要求后30分钟内对投标（响应）价格作出解释，并提供项目具体成本测算等与报价合理性相关的书面说明及必要的证明材料，包括但不限于原材料成本、人工成本、制造费用等。</w:t>
      </w:r>
    </w:p>
    <w:p>
      <w:pPr>
        <w:pStyle w:val="4"/>
        <w:keepNext w:val="0"/>
        <w:keepLines w:val="0"/>
        <w:pageBreakBefore w:val="0"/>
        <w:kinsoku/>
        <w:wordWrap/>
        <w:overflowPunct/>
        <w:topLinePunct w:val="0"/>
        <w:autoSpaceDE/>
        <w:autoSpaceDN/>
        <w:bidi w:val="0"/>
        <w:adjustRightInd/>
        <w:spacing w:after="0" w:afterAutospacing="0" w:line="460" w:lineRule="exac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甲方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keepNext w:val="0"/>
        <w:keepLines w:val="0"/>
        <w:pageBreakBefore w:val="0"/>
        <w:widowControl w:val="0"/>
        <w:kinsoku/>
        <w:wordWrap/>
        <w:overflowPunct/>
        <w:topLinePunct w:val="0"/>
        <w:autoSpaceDE/>
        <w:autoSpaceDN/>
        <w:bidi w:val="0"/>
        <w:adjustRightInd/>
        <w:snapToGrid/>
        <w:spacing w:afterAutospacing="0" w:line="4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五、响应技术偏离表</w:t>
      </w:r>
    </w:p>
    <w:tbl>
      <w:tblPr>
        <w:tblStyle w:val="6"/>
        <w:tblW w:w="0" w:type="auto"/>
        <w:tblInd w:w="-2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429"/>
        <w:gridCol w:w="1878"/>
        <w:gridCol w:w="1864"/>
        <w:gridCol w:w="1216"/>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序号</w:t>
            </w:r>
          </w:p>
        </w:tc>
        <w:tc>
          <w:tcPr>
            <w:tcW w:w="1429"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产品名称</w:t>
            </w:r>
          </w:p>
        </w:tc>
        <w:tc>
          <w:tcPr>
            <w:tcW w:w="1878"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采购需求技术要求</w:t>
            </w:r>
          </w:p>
        </w:tc>
        <w:tc>
          <w:tcPr>
            <w:tcW w:w="1864"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响应货物实际技术规格</w:t>
            </w:r>
          </w:p>
        </w:tc>
        <w:tc>
          <w:tcPr>
            <w:tcW w:w="1216"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偏离情况</w:t>
            </w:r>
          </w:p>
        </w:tc>
        <w:tc>
          <w:tcPr>
            <w:tcW w:w="1311"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b/>
                <w:bCs/>
                <w:color w:val="auto"/>
                <w:sz w:val="24"/>
                <w:szCs w:val="24"/>
                <w:highlight w:val="none"/>
                <w:vertAlign w:val="baseline"/>
                <w:lang w:eastAsia="zh-CN"/>
              </w:rPr>
            </w:pPr>
            <w:r>
              <w:rPr>
                <w:rFonts w:hint="eastAsia" w:ascii="仿宋_GB2312" w:hAnsi="仿宋_GB2312" w:eastAsia="仿宋_GB2312" w:cs="仿宋_GB2312"/>
                <w:b/>
                <w:bCs/>
                <w:color w:val="auto"/>
                <w:sz w:val="24"/>
                <w:szCs w:val="24"/>
                <w:highlight w:val="none"/>
                <w:vertAlign w:val="baseline"/>
                <w:lang w:eastAsia="zh-CN"/>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w:t>
            </w:r>
          </w:p>
        </w:tc>
        <w:tc>
          <w:tcPr>
            <w:tcW w:w="1429"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按采购需求清单填写</w:t>
            </w:r>
          </w:p>
        </w:tc>
        <w:tc>
          <w:tcPr>
            <w:tcW w:w="1878"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按采购需求文件中对应技术填写</w:t>
            </w:r>
          </w:p>
        </w:tc>
        <w:tc>
          <w:tcPr>
            <w:tcW w:w="1864"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按所投产品实际技术指标填写</w:t>
            </w:r>
          </w:p>
        </w:tc>
        <w:tc>
          <w:tcPr>
            <w:tcW w:w="1216"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正偏离或满足或负偏离</w:t>
            </w:r>
          </w:p>
        </w:tc>
        <w:tc>
          <w:tcPr>
            <w:tcW w:w="1311"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其他需补充说明情况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p>
        </w:tc>
        <w:tc>
          <w:tcPr>
            <w:tcW w:w="1429"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w:t>
            </w:r>
          </w:p>
        </w:tc>
        <w:tc>
          <w:tcPr>
            <w:tcW w:w="1878"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p>
        </w:tc>
        <w:tc>
          <w:tcPr>
            <w:tcW w:w="1216"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p>
        </w:tc>
        <w:tc>
          <w:tcPr>
            <w:tcW w:w="1311"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p>
        </w:tc>
        <w:tc>
          <w:tcPr>
            <w:tcW w:w="1429"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p>
        </w:tc>
        <w:tc>
          <w:tcPr>
            <w:tcW w:w="1878"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p>
        </w:tc>
        <w:tc>
          <w:tcPr>
            <w:tcW w:w="1216"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p>
        </w:tc>
        <w:tc>
          <w:tcPr>
            <w:tcW w:w="1311" w:type="dxa"/>
            <w:tcBorders>
              <w:top w:val="single" w:color="auto" w:sz="4" w:space="0"/>
              <w:left w:val="single" w:color="auto" w:sz="4" w:space="0"/>
              <w:bottom w:val="single" w:color="auto" w:sz="4" w:space="0"/>
              <w:right w:val="single" w:color="auto" w:sz="4" w:space="0"/>
            </w:tcBorders>
            <w:noWrap w:val="0"/>
            <w:vAlign w:val="top"/>
          </w:tcPr>
          <w:p>
            <w:pPr>
              <w:pStyle w:val="2"/>
              <w:keepNext w:val="0"/>
              <w:keepLines w:val="0"/>
              <w:pageBreakBefore w:val="0"/>
              <w:widowControl w:val="0"/>
              <w:kinsoku/>
              <w:wordWrap/>
              <w:overflowPunct/>
              <w:topLinePunct w:val="0"/>
              <w:autoSpaceDE/>
              <w:autoSpaceDN/>
              <w:bidi w:val="0"/>
              <w:adjustRightInd/>
              <w:snapToGrid w:val="0"/>
              <w:spacing w:after="0" w:afterAutospacing="0" w:line="300" w:lineRule="exact"/>
              <w:textAlignment w:val="auto"/>
              <w:rPr>
                <w:rFonts w:hint="eastAsia" w:ascii="仿宋_GB2312" w:hAnsi="仿宋_GB2312" w:eastAsia="仿宋_GB2312" w:cs="仿宋_GB2312"/>
                <w:color w:val="auto"/>
                <w:sz w:val="24"/>
                <w:szCs w:val="24"/>
                <w:highlight w:val="none"/>
                <w:vertAlign w:val="baseline"/>
                <w:lang w:eastAsia="zh-CN"/>
              </w:rPr>
            </w:pPr>
          </w:p>
        </w:tc>
      </w:tr>
    </w:tbl>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p>
    <w:tbl>
      <w:tblPr>
        <w:tblStyle w:val="6"/>
        <w:tblW w:w="970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108" w:type="dxa"/>
          <w:bottom w:w="28" w:type="dxa"/>
          <w:right w:w="108" w:type="dxa"/>
        </w:tblCellMar>
      </w:tblPr>
      <w:tblGrid>
        <w:gridCol w:w="690"/>
        <w:gridCol w:w="1290"/>
        <w:gridCol w:w="77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78" w:hRule="atLeast"/>
          <w:jc w:val="center"/>
        </w:trPr>
        <w:tc>
          <w:tcPr>
            <w:tcW w:w="6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kinsoku/>
              <w:wordWrap/>
              <w:overflowPunct/>
              <w:topLinePunct w:val="0"/>
              <w:autoSpaceDE/>
              <w:autoSpaceDN/>
              <w:bidi w:val="0"/>
              <w:adjustRightInd/>
              <w:snapToGrid w:val="0"/>
              <w:spacing w:afterAutospacing="0" w:line="300" w:lineRule="exact"/>
              <w:textAlignment w:val="auto"/>
              <w:rPr>
                <w:rFonts w:hint="eastAsia" w:ascii="仿宋_GB2312" w:hAnsi="仿宋_GB2312" w:eastAsia="仿宋_GB2312" w:cs="仿宋_GB2312"/>
                <w:b/>
                <w:bCs/>
                <w:color w:val="auto"/>
                <w:sz w:val="22"/>
                <w:szCs w:val="22"/>
                <w:highlight w:val="none"/>
              </w:rPr>
            </w:pPr>
            <w:r>
              <w:rPr>
                <w:rFonts w:hint="eastAsia" w:ascii="仿宋_GB2312" w:hAnsi="仿宋_GB2312" w:eastAsia="仿宋_GB2312" w:cs="仿宋_GB2312"/>
                <w:b/>
                <w:bCs/>
                <w:color w:val="auto"/>
                <w:sz w:val="22"/>
                <w:szCs w:val="22"/>
                <w:highlight w:val="none"/>
              </w:rPr>
              <w:t>序号</w:t>
            </w:r>
          </w:p>
        </w:tc>
        <w:tc>
          <w:tcPr>
            <w:tcW w:w="12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kinsoku/>
              <w:wordWrap/>
              <w:overflowPunct/>
              <w:topLinePunct w:val="0"/>
              <w:autoSpaceDE/>
              <w:autoSpaceDN/>
              <w:bidi w:val="0"/>
              <w:adjustRightInd/>
              <w:snapToGrid w:val="0"/>
              <w:spacing w:afterAutospacing="0" w:line="300" w:lineRule="exact"/>
              <w:jc w:val="center"/>
              <w:textAlignment w:val="auto"/>
              <w:rPr>
                <w:rFonts w:hint="eastAsia" w:ascii="仿宋_GB2312" w:hAnsi="仿宋_GB2312" w:eastAsia="仿宋_GB2312" w:cs="仿宋_GB2312"/>
                <w:b/>
                <w:bCs/>
                <w:color w:val="auto"/>
                <w:sz w:val="22"/>
                <w:szCs w:val="22"/>
                <w:highlight w:val="none"/>
              </w:rPr>
            </w:pPr>
            <w:r>
              <w:rPr>
                <w:rFonts w:hint="eastAsia" w:ascii="仿宋_GB2312" w:hAnsi="仿宋_GB2312" w:eastAsia="仿宋_GB2312" w:cs="仿宋_GB2312"/>
                <w:b/>
                <w:color w:val="auto"/>
                <w:sz w:val="22"/>
                <w:szCs w:val="22"/>
                <w:highlight w:val="none"/>
              </w:rPr>
              <w:t>评审内容</w:t>
            </w:r>
          </w:p>
        </w:tc>
        <w:tc>
          <w:tcPr>
            <w:tcW w:w="7725"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kinsoku/>
              <w:wordWrap/>
              <w:overflowPunct/>
              <w:topLinePunct w:val="0"/>
              <w:autoSpaceDE/>
              <w:autoSpaceDN/>
              <w:bidi w:val="0"/>
              <w:adjustRightInd/>
              <w:snapToGrid w:val="0"/>
              <w:spacing w:afterAutospacing="0" w:line="300" w:lineRule="exact"/>
              <w:textAlignment w:val="auto"/>
              <w:rPr>
                <w:rFonts w:hint="eastAsia" w:ascii="仿宋_GB2312" w:hAnsi="仿宋_GB2312" w:eastAsia="仿宋_GB2312" w:cs="仿宋_GB2312"/>
                <w:b/>
                <w:bCs/>
                <w:color w:val="auto"/>
                <w:sz w:val="22"/>
                <w:szCs w:val="22"/>
                <w:highlight w:val="none"/>
              </w:rPr>
            </w:pPr>
            <w:r>
              <w:rPr>
                <w:rFonts w:hint="eastAsia" w:ascii="仿宋_GB2312" w:hAnsi="仿宋_GB2312" w:eastAsia="仿宋_GB2312" w:cs="仿宋_GB2312"/>
                <w:b/>
                <w:bCs/>
                <w:color w:val="auto"/>
                <w:sz w:val="22"/>
                <w:szCs w:val="22"/>
                <w:highlight w:val="none"/>
              </w:rPr>
              <w:t>评分细则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6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kinsoku/>
              <w:wordWrap/>
              <w:overflowPunct/>
              <w:topLinePunct w:val="0"/>
              <w:autoSpaceDE/>
              <w:autoSpaceDN/>
              <w:bidi w:val="0"/>
              <w:adjustRightInd/>
              <w:snapToGrid w:val="0"/>
              <w:spacing w:afterAutospacing="0" w:line="300" w:lineRule="exact"/>
              <w:ind w:firstLine="220" w:firstLineChars="10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1</w:t>
            </w:r>
          </w:p>
        </w:tc>
        <w:tc>
          <w:tcPr>
            <w:tcW w:w="1290" w:type="dxa"/>
            <w:tcBorders>
              <w:top w:val="single" w:color="auto" w:sz="2" w:space="0"/>
              <w:left w:val="single" w:color="auto" w:sz="2" w:space="0"/>
              <w:bottom w:val="single" w:color="auto" w:sz="2" w:space="0"/>
              <w:right w:val="single" w:color="auto" w:sz="2" w:space="0"/>
            </w:tcBorders>
            <w:noWrap w:val="0"/>
            <w:vAlign w:val="center"/>
          </w:tcPr>
          <w:p>
            <w:pPr>
              <w:pStyle w:val="9"/>
              <w:keepNext w:val="0"/>
              <w:keepLines w:val="0"/>
              <w:pageBreakBefore w:val="0"/>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报价得分</w:t>
            </w:r>
          </w:p>
          <w:p>
            <w:pPr>
              <w:pStyle w:val="9"/>
              <w:keepNext w:val="0"/>
              <w:keepLines w:val="0"/>
              <w:pageBreakBefore w:val="0"/>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w:t>
            </w:r>
            <w:r>
              <w:rPr>
                <w:rFonts w:hint="eastAsia" w:ascii="仿宋_GB2312" w:hAnsi="仿宋_GB2312" w:eastAsia="仿宋_GB2312" w:cs="仿宋_GB2312"/>
                <w:color w:val="auto"/>
                <w:sz w:val="22"/>
                <w:szCs w:val="22"/>
                <w:highlight w:val="none"/>
                <w:lang w:val="en-US"/>
              </w:rPr>
              <w:t>20分</w:t>
            </w:r>
            <w:r>
              <w:rPr>
                <w:rFonts w:hint="eastAsia" w:ascii="仿宋_GB2312" w:hAnsi="仿宋_GB2312" w:eastAsia="仿宋_GB2312" w:cs="仿宋_GB2312"/>
                <w:color w:val="auto"/>
                <w:sz w:val="22"/>
                <w:szCs w:val="22"/>
                <w:highlight w:val="none"/>
              </w:rPr>
              <w:t>）</w:t>
            </w:r>
          </w:p>
        </w:tc>
        <w:tc>
          <w:tcPr>
            <w:tcW w:w="7725" w:type="dxa"/>
            <w:tcBorders>
              <w:top w:val="single" w:color="auto" w:sz="2" w:space="0"/>
              <w:left w:val="single" w:color="auto" w:sz="2" w:space="0"/>
              <w:bottom w:val="single" w:color="auto" w:sz="2" w:space="0"/>
              <w:right w:val="single" w:color="auto" w:sz="2" w:space="0"/>
            </w:tcBorders>
            <w:noWrap w:val="0"/>
            <w:vAlign w:val="top"/>
          </w:tcPr>
          <w:p>
            <w:pPr>
              <w:pStyle w:val="2"/>
              <w:keepNext w:val="0"/>
              <w:keepLines w:val="0"/>
              <w:pageBreakBefore w:val="0"/>
              <w:kinsoku/>
              <w:wordWrap/>
              <w:overflowPunct/>
              <w:topLinePunct w:val="0"/>
              <w:autoSpaceDE/>
              <w:autoSpaceDN/>
              <w:bidi w:val="0"/>
              <w:adjustRightInd/>
              <w:spacing w:after="0" w:afterAutospacing="0" w:line="30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kern w:val="0"/>
                <w:sz w:val="22"/>
                <w:szCs w:val="22"/>
                <w:highlight w:val="none"/>
              </w:rPr>
              <w:t>报价得分=20×（评审基准价/最终报价），超过最高限价金额的投标为无效投标；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6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kinsoku/>
              <w:wordWrap/>
              <w:overflowPunct/>
              <w:topLinePunct w:val="0"/>
              <w:autoSpaceDE/>
              <w:autoSpaceDN/>
              <w:bidi w:val="0"/>
              <w:adjustRightInd/>
              <w:snapToGrid w:val="0"/>
              <w:spacing w:afterAutospacing="0" w:line="30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2</w:t>
            </w:r>
          </w:p>
        </w:tc>
        <w:tc>
          <w:tcPr>
            <w:tcW w:w="12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kinsoku/>
              <w:wordWrap/>
              <w:overflowPunct/>
              <w:topLinePunct w:val="0"/>
              <w:autoSpaceDE/>
              <w:autoSpaceDN/>
              <w:bidi w:val="0"/>
              <w:adjustRightInd/>
              <w:snapToGrid w:val="0"/>
              <w:spacing w:afterAutospacing="0" w:line="30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类似业绩</w:t>
            </w:r>
          </w:p>
          <w:p>
            <w:pPr>
              <w:keepNext w:val="0"/>
              <w:keepLines w:val="0"/>
              <w:pageBreakBefore w:val="0"/>
              <w:kinsoku/>
              <w:wordWrap/>
              <w:overflowPunct/>
              <w:topLinePunct w:val="0"/>
              <w:autoSpaceDE/>
              <w:autoSpaceDN/>
              <w:bidi w:val="0"/>
              <w:adjustRightInd/>
              <w:snapToGrid w:val="0"/>
              <w:spacing w:afterAutospacing="0" w:line="30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w:t>
            </w:r>
            <w:r>
              <w:rPr>
                <w:rFonts w:hint="eastAsia" w:ascii="仿宋_GB2312" w:hAnsi="仿宋_GB2312" w:eastAsia="仿宋_GB2312" w:cs="仿宋_GB2312"/>
                <w:color w:val="auto"/>
                <w:sz w:val="22"/>
                <w:szCs w:val="22"/>
                <w:highlight w:val="none"/>
                <w:lang w:val="en-US" w:eastAsia="zh-CN"/>
              </w:rPr>
              <w:t>5</w:t>
            </w:r>
            <w:r>
              <w:rPr>
                <w:rFonts w:hint="eastAsia" w:ascii="仿宋_GB2312" w:hAnsi="仿宋_GB2312" w:eastAsia="仿宋_GB2312" w:cs="仿宋_GB2312"/>
                <w:color w:val="auto"/>
                <w:sz w:val="22"/>
                <w:szCs w:val="22"/>
                <w:highlight w:val="none"/>
              </w:rPr>
              <w:t>分）</w:t>
            </w:r>
          </w:p>
        </w:tc>
        <w:tc>
          <w:tcPr>
            <w:tcW w:w="7725"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kinsoku/>
              <w:wordWrap/>
              <w:overflowPunct/>
              <w:topLinePunct w:val="0"/>
              <w:autoSpaceDE/>
              <w:autoSpaceDN/>
              <w:bidi w:val="0"/>
              <w:adjustRightInd/>
              <w:snapToGrid w:val="0"/>
              <w:spacing w:afterAutospacing="0" w:line="300" w:lineRule="exac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近三年类似项目业绩（合同或中标通知书原件扫描件，具体时间以合同签订日期或中标通知书落款日期为准，未注明日期或者不清楚则不予计取，不提供则不得分）每个合同得1分，最高得</w:t>
            </w:r>
            <w:r>
              <w:rPr>
                <w:rFonts w:hint="eastAsia" w:ascii="仿宋_GB2312" w:hAnsi="仿宋_GB2312" w:eastAsia="仿宋_GB2312" w:cs="仿宋_GB2312"/>
                <w:color w:val="auto"/>
                <w:sz w:val="22"/>
                <w:szCs w:val="22"/>
                <w:highlight w:val="none"/>
                <w:lang w:val="en-US" w:eastAsia="zh-CN"/>
              </w:rPr>
              <w:t>5</w:t>
            </w:r>
            <w:r>
              <w:rPr>
                <w:rFonts w:hint="eastAsia" w:ascii="仿宋_GB2312" w:hAnsi="仿宋_GB2312" w:eastAsia="仿宋_GB2312" w:cs="仿宋_GB2312"/>
                <w:color w:val="auto"/>
                <w:sz w:val="22"/>
                <w:szCs w:val="22"/>
                <w:highlight w:val="none"/>
              </w:rPr>
              <w:t>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6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lang w:eastAsia="zh-CN"/>
              </w:rPr>
            </w:pPr>
            <w:r>
              <w:rPr>
                <w:rFonts w:hint="eastAsia" w:ascii="仿宋_GB2312" w:hAnsi="仿宋_GB2312" w:eastAsia="仿宋_GB2312" w:cs="仿宋_GB2312"/>
                <w:color w:val="auto"/>
                <w:sz w:val="22"/>
                <w:szCs w:val="22"/>
                <w:highlight w:val="none"/>
                <w:lang w:val="en-US" w:eastAsia="zh-CN"/>
              </w:rPr>
              <w:t>3</w:t>
            </w:r>
          </w:p>
        </w:tc>
        <w:tc>
          <w:tcPr>
            <w:tcW w:w="12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设备的参数</w:t>
            </w:r>
          </w:p>
          <w:p>
            <w:pPr>
              <w:keepNext w:val="0"/>
              <w:keepLines w:val="0"/>
              <w:pageBreakBefore w:val="0"/>
              <w:widowControl/>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w:t>
            </w:r>
            <w:r>
              <w:rPr>
                <w:rFonts w:hint="eastAsia" w:ascii="仿宋_GB2312" w:hAnsi="仿宋_GB2312" w:eastAsia="仿宋_GB2312" w:cs="仿宋_GB2312"/>
                <w:color w:val="auto"/>
                <w:sz w:val="22"/>
                <w:szCs w:val="22"/>
                <w:highlight w:val="none"/>
                <w:lang w:val="en-US" w:eastAsia="zh-CN"/>
              </w:rPr>
              <w:t>23</w:t>
            </w:r>
            <w:r>
              <w:rPr>
                <w:rFonts w:hint="eastAsia" w:ascii="仿宋_GB2312" w:hAnsi="仿宋_GB2312" w:eastAsia="仿宋_GB2312" w:cs="仿宋_GB2312"/>
                <w:color w:val="auto"/>
                <w:sz w:val="22"/>
                <w:szCs w:val="22"/>
                <w:highlight w:val="none"/>
              </w:rPr>
              <w:t>分）</w:t>
            </w:r>
          </w:p>
        </w:tc>
        <w:tc>
          <w:tcPr>
            <w:tcW w:w="7725" w:type="dxa"/>
            <w:tcBorders>
              <w:top w:val="single" w:color="auto" w:sz="2" w:space="0"/>
              <w:left w:val="single" w:color="auto" w:sz="2" w:space="0"/>
              <w:bottom w:val="single" w:color="auto" w:sz="2" w:space="0"/>
              <w:right w:val="single" w:color="auto" w:sz="2" w:space="0"/>
            </w:tcBorders>
            <w:noWrap w:val="0"/>
            <w:vAlign w:val="top"/>
          </w:tcPr>
          <w:p>
            <w:pPr>
              <w:keepNext w:val="0"/>
              <w:keepLines w:val="0"/>
              <w:pageBreakBefore w:val="0"/>
              <w:widowControl/>
              <w:kinsoku/>
              <w:wordWrap/>
              <w:overflowPunct/>
              <w:topLinePunct w:val="0"/>
              <w:autoSpaceDE/>
              <w:autoSpaceDN/>
              <w:bidi w:val="0"/>
              <w:adjustRightInd/>
              <w:spacing w:afterAutospacing="0" w:line="300" w:lineRule="exact"/>
              <w:jc w:val="left"/>
              <w:textAlignment w:val="auto"/>
              <w:rPr>
                <w:rFonts w:hint="eastAsia" w:ascii="仿宋_GB2312" w:hAnsi="仿宋_GB2312" w:eastAsia="仿宋_GB2312" w:cs="仿宋_GB2312"/>
                <w:color w:val="auto"/>
                <w:sz w:val="22"/>
                <w:szCs w:val="22"/>
                <w:highlight w:val="none"/>
                <w:lang w:eastAsia="zh-CN"/>
              </w:rPr>
            </w:pPr>
            <w:r>
              <w:rPr>
                <w:rFonts w:hint="eastAsia" w:ascii="仿宋_GB2312" w:hAnsi="仿宋_GB2312" w:eastAsia="仿宋_GB2312" w:cs="仿宋_GB2312"/>
                <w:color w:val="auto"/>
                <w:sz w:val="22"/>
                <w:szCs w:val="22"/>
                <w:highlight w:val="none"/>
              </w:rPr>
              <w:t>根据所提供的产品功能及特点、产品性能、产品资料（除“★”重要指标外的其他技术参数）与需求的吻合程度和偏差情况，是否能够满足</w:t>
            </w:r>
            <w:r>
              <w:rPr>
                <w:rFonts w:hint="eastAsia" w:ascii="仿宋_GB2312" w:hAnsi="仿宋_GB2312" w:eastAsia="仿宋_GB2312" w:cs="仿宋_GB2312"/>
                <w:color w:val="auto"/>
                <w:sz w:val="22"/>
                <w:szCs w:val="22"/>
                <w:highlight w:val="none"/>
                <w:lang w:eastAsia="zh-CN"/>
              </w:rPr>
              <w:t>采购需求</w:t>
            </w:r>
            <w:r>
              <w:rPr>
                <w:rFonts w:hint="eastAsia" w:ascii="仿宋_GB2312" w:hAnsi="仿宋_GB2312" w:eastAsia="仿宋_GB2312" w:cs="仿宋_GB2312"/>
                <w:color w:val="auto"/>
                <w:sz w:val="22"/>
                <w:szCs w:val="22"/>
                <w:highlight w:val="none"/>
              </w:rPr>
              <w:t>要求，产品资料是否详细完整等进行综合评审。产品资料详细完整，产品性能完全满足采购需求，投标产品功能和特点的描述清晰准确，综合性能出色（先进性、兼容性、可扩展性等），得</w:t>
            </w:r>
            <w:r>
              <w:rPr>
                <w:rFonts w:hint="eastAsia" w:ascii="仿宋_GB2312" w:hAnsi="仿宋_GB2312" w:eastAsia="仿宋_GB2312" w:cs="仿宋_GB2312"/>
                <w:color w:val="auto"/>
                <w:sz w:val="22"/>
                <w:szCs w:val="22"/>
                <w:highlight w:val="none"/>
                <w:lang w:val="en-US" w:eastAsia="zh-CN"/>
              </w:rPr>
              <w:t>20-23</w:t>
            </w:r>
            <w:r>
              <w:rPr>
                <w:rFonts w:hint="eastAsia" w:ascii="仿宋_GB2312" w:hAnsi="仿宋_GB2312" w:eastAsia="仿宋_GB2312" w:cs="仿宋_GB2312"/>
                <w:color w:val="auto"/>
                <w:sz w:val="22"/>
                <w:szCs w:val="22"/>
                <w:highlight w:val="none"/>
              </w:rPr>
              <w:t>分；产品资料不能完全体现产品特点，功能描述不完整，少量性能指标不满足采购需求，但不影响主要功能的，得</w:t>
            </w:r>
            <w:r>
              <w:rPr>
                <w:rFonts w:hint="eastAsia" w:ascii="仿宋_GB2312" w:hAnsi="仿宋_GB2312" w:eastAsia="仿宋_GB2312" w:cs="仿宋_GB2312"/>
                <w:color w:val="auto"/>
                <w:sz w:val="22"/>
                <w:szCs w:val="22"/>
                <w:highlight w:val="none"/>
                <w:lang w:val="en-US" w:eastAsia="zh-CN"/>
              </w:rPr>
              <w:t>16-19</w:t>
            </w:r>
            <w:r>
              <w:rPr>
                <w:rFonts w:hint="eastAsia" w:ascii="仿宋_GB2312" w:hAnsi="仿宋_GB2312" w:eastAsia="仿宋_GB2312" w:cs="仿宋_GB2312"/>
                <w:color w:val="auto"/>
                <w:sz w:val="22"/>
                <w:szCs w:val="22"/>
                <w:highlight w:val="none"/>
              </w:rPr>
              <w:t>分；产品资料内容缺漏，所选用产品有多处性能指标低于采购需求，并影响到主要功能的，得</w:t>
            </w:r>
            <w:r>
              <w:rPr>
                <w:rFonts w:hint="eastAsia" w:ascii="仿宋_GB2312" w:hAnsi="仿宋_GB2312" w:eastAsia="仿宋_GB2312" w:cs="仿宋_GB2312"/>
                <w:color w:val="auto"/>
                <w:sz w:val="22"/>
                <w:szCs w:val="22"/>
                <w:highlight w:val="none"/>
                <w:lang w:val="en-US" w:eastAsia="zh-CN"/>
              </w:rPr>
              <w:t>12-15</w:t>
            </w:r>
            <w:r>
              <w:rPr>
                <w:rFonts w:hint="eastAsia" w:ascii="仿宋_GB2312" w:hAnsi="仿宋_GB2312" w:eastAsia="仿宋_GB2312" w:cs="仿宋_GB2312"/>
                <w:color w:val="auto"/>
                <w:sz w:val="22"/>
                <w:szCs w:val="22"/>
                <w:highlight w:val="none"/>
              </w:rPr>
              <w:t>分；产品资料内容有很多缺漏，所选用产品大量性能指标不满足采购需求，并严重影响到主要功能的，得</w:t>
            </w:r>
            <w:r>
              <w:rPr>
                <w:rFonts w:hint="eastAsia" w:ascii="仿宋_GB2312" w:hAnsi="仿宋_GB2312" w:eastAsia="仿宋_GB2312" w:cs="仿宋_GB2312"/>
                <w:color w:val="auto"/>
                <w:sz w:val="22"/>
                <w:szCs w:val="22"/>
                <w:highlight w:val="none"/>
                <w:lang w:val="en-US" w:eastAsia="zh-CN"/>
              </w:rPr>
              <w:t>8-11</w:t>
            </w:r>
            <w:r>
              <w:rPr>
                <w:rFonts w:hint="eastAsia" w:ascii="仿宋_GB2312" w:hAnsi="仿宋_GB2312" w:eastAsia="仿宋_GB2312" w:cs="仿宋_GB2312"/>
                <w:color w:val="auto"/>
                <w:sz w:val="22"/>
                <w:szCs w:val="22"/>
                <w:highlight w:val="none"/>
              </w:rPr>
              <w:t>分。注：</w:t>
            </w:r>
            <w:r>
              <w:rPr>
                <w:rFonts w:hint="eastAsia" w:ascii="仿宋_GB2312" w:hAnsi="仿宋_GB2312" w:eastAsia="仿宋_GB2312" w:cs="仿宋_GB2312"/>
                <w:b/>
                <w:bCs/>
                <w:color w:val="auto"/>
                <w:sz w:val="22"/>
                <w:szCs w:val="22"/>
                <w:highlight w:val="none"/>
              </w:rPr>
              <w:t>如有下述情况的，本小项得</w:t>
            </w:r>
            <w:r>
              <w:rPr>
                <w:rFonts w:hint="eastAsia" w:ascii="仿宋_GB2312" w:hAnsi="仿宋_GB2312" w:eastAsia="仿宋_GB2312" w:cs="仿宋_GB2312"/>
                <w:b/>
                <w:bCs/>
                <w:color w:val="auto"/>
                <w:sz w:val="22"/>
                <w:szCs w:val="22"/>
                <w:highlight w:val="none"/>
                <w:lang w:val="en-US" w:eastAsia="zh-CN"/>
              </w:rPr>
              <w:t>7</w:t>
            </w:r>
            <w:r>
              <w:rPr>
                <w:rFonts w:hint="eastAsia" w:ascii="仿宋_GB2312" w:hAnsi="仿宋_GB2312" w:eastAsia="仿宋_GB2312" w:cs="仿宋_GB2312"/>
                <w:b/>
                <w:bCs/>
                <w:color w:val="auto"/>
                <w:sz w:val="22"/>
                <w:szCs w:val="22"/>
                <w:highlight w:val="none"/>
              </w:rPr>
              <w:t>分：投标人未按要求在技术偏离表中提供所投产品的型号或规格、准确的规格参数，并根据正负偏离情况标注页码及参数偏离情况说明的</w:t>
            </w:r>
            <w:r>
              <w:rPr>
                <w:rFonts w:hint="eastAsia" w:ascii="仿宋_GB2312" w:hAnsi="仿宋_GB2312" w:eastAsia="仿宋_GB2312" w:cs="仿宋_GB2312"/>
                <w:b/>
                <w:bCs/>
                <w:color w:val="auto"/>
                <w:sz w:val="22"/>
                <w:szCs w:val="22"/>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6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4</w:t>
            </w:r>
          </w:p>
        </w:tc>
        <w:tc>
          <w:tcPr>
            <w:tcW w:w="12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rPr>
            </w:pPr>
          </w:p>
          <w:p>
            <w:pPr>
              <w:keepNext w:val="0"/>
              <w:keepLines w:val="0"/>
              <w:pageBreakBefore w:val="0"/>
              <w:widowControl/>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重要指标响应程度</w:t>
            </w:r>
          </w:p>
          <w:p>
            <w:pPr>
              <w:pStyle w:val="2"/>
              <w:keepNext w:val="0"/>
              <w:keepLines w:val="0"/>
              <w:pageBreakBefore w:val="0"/>
              <w:kinsoku/>
              <w:wordWrap/>
              <w:overflowPunct/>
              <w:topLinePunct w:val="0"/>
              <w:autoSpaceDE/>
              <w:autoSpaceDN/>
              <w:bidi w:val="0"/>
              <w:adjustRightInd/>
              <w:spacing w:after="0" w:afterAutospacing="0" w:line="300" w:lineRule="exact"/>
              <w:jc w:val="center"/>
              <w:textAlignment w:val="auto"/>
              <w:rPr>
                <w:rFonts w:hint="eastAsia" w:ascii="仿宋_GB2312" w:hAnsi="仿宋_GB2312" w:eastAsia="仿宋_GB2312" w:cs="仿宋_GB2312"/>
                <w:color w:val="auto"/>
                <w:sz w:val="22"/>
                <w:szCs w:val="22"/>
                <w:highlight w:val="none"/>
                <w:lang w:eastAsia="zh-CN"/>
              </w:rPr>
            </w:pPr>
            <w:r>
              <w:rPr>
                <w:rFonts w:hint="eastAsia" w:ascii="仿宋_GB2312" w:hAnsi="仿宋_GB2312" w:eastAsia="仿宋_GB2312" w:cs="仿宋_GB2312"/>
                <w:color w:val="auto"/>
                <w:sz w:val="22"/>
                <w:szCs w:val="22"/>
                <w:highlight w:val="none"/>
                <w:lang w:eastAsia="zh-CN"/>
              </w:rPr>
              <w:t>（</w:t>
            </w:r>
            <w:r>
              <w:rPr>
                <w:rFonts w:hint="eastAsia" w:ascii="仿宋_GB2312" w:hAnsi="仿宋_GB2312" w:eastAsia="仿宋_GB2312" w:cs="仿宋_GB2312"/>
                <w:color w:val="auto"/>
                <w:sz w:val="22"/>
                <w:szCs w:val="22"/>
                <w:highlight w:val="none"/>
                <w:lang w:val="en-US" w:eastAsia="zh-CN"/>
              </w:rPr>
              <w:t>16</w:t>
            </w:r>
            <w:r>
              <w:rPr>
                <w:rFonts w:hint="eastAsia" w:ascii="仿宋_GB2312" w:hAnsi="仿宋_GB2312" w:eastAsia="仿宋_GB2312" w:cs="仿宋_GB2312"/>
                <w:color w:val="auto"/>
                <w:sz w:val="22"/>
                <w:szCs w:val="22"/>
                <w:highlight w:val="none"/>
                <w:lang w:val="en-US" w:eastAsia="zh-CN"/>
              </w:rPr>
              <w:t>分</w:t>
            </w:r>
            <w:r>
              <w:rPr>
                <w:rFonts w:hint="eastAsia" w:ascii="仿宋_GB2312" w:hAnsi="仿宋_GB2312" w:eastAsia="仿宋_GB2312" w:cs="仿宋_GB2312"/>
                <w:color w:val="auto"/>
                <w:sz w:val="22"/>
                <w:szCs w:val="22"/>
                <w:highlight w:val="none"/>
                <w:lang w:eastAsia="zh-CN"/>
              </w:rPr>
              <w:t>）</w:t>
            </w:r>
          </w:p>
        </w:tc>
        <w:tc>
          <w:tcPr>
            <w:tcW w:w="7725" w:type="dxa"/>
            <w:tcBorders>
              <w:top w:val="single" w:color="auto" w:sz="2" w:space="0"/>
              <w:left w:val="single" w:color="auto" w:sz="2" w:space="0"/>
              <w:bottom w:val="single" w:color="auto" w:sz="2" w:space="0"/>
              <w:right w:val="single" w:color="auto" w:sz="2" w:space="0"/>
            </w:tcBorders>
            <w:noWrap w:val="0"/>
            <w:vAlign w:val="top"/>
          </w:tcPr>
          <w:p>
            <w:pPr>
              <w:keepNext w:val="0"/>
              <w:keepLines w:val="0"/>
              <w:pageBreakBefore w:val="0"/>
              <w:widowControl/>
              <w:kinsoku/>
              <w:wordWrap/>
              <w:overflowPunct/>
              <w:topLinePunct w:val="0"/>
              <w:autoSpaceDE/>
              <w:autoSpaceDN/>
              <w:bidi w:val="0"/>
              <w:adjustRightInd/>
              <w:spacing w:afterAutospacing="0" w:line="3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技术参数要求中标“★”项为重要指标，需按要求提供相关证明资料予以佐证，每有一项不满足或未提供相关证明材料的，扣</w:t>
            </w:r>
            <w:r>
              <w:rPr>
                <w:rFonts w:hint="eastAsia" w:ascii="仿宋_GB2312" w:hAnsi="仿宋_GB2312" w:eastAsia="仿宋_GB2312" w:cs="仿宋_GB2312"/>
                <w:color w:val="auto"/>
                <w:sz w:val="22"/>
                <w:szCs w:val="22"/>
                <w:highlight w:val="none"/>
                <w:lang w:val="en-US" w:eastAsia="zh-CN"/>
              </w:rPr>
              <w:t>2</w:t>
            </w:r>
            <w:r>
              <w:rPr>
                <w:rFonts w:hint="eastAsia" w:ascii="仿宋_GB2312" w:hAnsi="仿宋_GB2312" w:eastAsia="仿宋_GB2312" w:cs="仿宋_GB2312"/>
                <w:color w:val="auto"/>
                <w:sz w:val="22"/>
                <w:szCs w:val="22"/>
                <w:highlight w:val="none"/>
              </w:rPr>
              <w:t>分，扣完为止，全部满足得</w:t>
            </w:r>
            <w:r>
              <w:rPr>
                <w:rFonts w:hint="eastAsia" w:ascii="仿宋_GB2312" w:hAnsi="仿宋_GB2312" w:eastAsia="仿宋_GB2312" w:cs="仿宋_GB2312"/>
                <w:color w:val="auto"/>
                <w:sz w:val="22"/>
                <w:szCs w:val="22"/>
                <w:highlight w:val="none"/>
                <w:lang w:val="en-US" w:eastAsia="zh-CN"/>
              </w:rPr>
              <w:t>16</w:t>
            </w:r>
            <w:r>
              <w:rPr>
                <w:rFonts w:hint="eastAsia" w:ascii="仿宋_GB2312" w:hAnsi="仿宋_GB2312" w:eastAsia="仿宋_GB2312" w:cs="仿宋_GB2312"/>
                <w:color w:val="auto"/>
                <w:sz w:val="22"/>
                <w:szCs w:val="22"/>
                <w:highlight w:val="none"/>
              </w:rPr>
              <w:t>分。</w:t>
            </w:r>
            <w:r>
              <w:rPr>
                <w:rFonts w:hint="eastAsia" w:ascii="仿宋_GB2312" w:hAnsi="仿宋_GB2312" w:eastAsia="仿宋_GB2312" w:cs="仿宋_GB2312"/>
                <w:b/>
                <w:bCs/>
                <w:color w:val="auto"/>
                <w:sz w:val="22"/>
                <w:szCs w:val="22"/>
                <w:highlight w:val="none"/>
              </w:rPr>
              <w:t>注：如有下述情况的，本小项得0分：未按要求在技术偏离表中提供所投产品的型号或规格、准确的规格参数，</w:t>
            </w:r>
            <w:r>
              <w:rPr>
                <w:rFonts w:hint="eastAsia" w:ascii="仿宋_GB2312" w:hAnsi="仿宋_GB2312" w:eastAsia="仿宋_GB2312" w:cs="仿宋_GB2312"/>
                <w:b/>
                <w:bCs/>
                <w:color w:val="auto"/>
                <w:sz w:val="22"/>
                <w:szCs w:val="22"/>
                <w:highlight w:val="none"/>
                <w:lang w:eastAsia="zh-CN"/>
              </w:rPr>
              <w:t>未</w:t>
            </w:r>
            <w:r>
              <w:rPr>
                <w:rFonts w:hint="eastAsia" w:ascii="仿宋_GB2312" w:hAnsi="仿宋_GB2312" w:eastAsia="仿宋_GB2312" w:cs="仿宋_GB2312"/>
                <w:b/>
                <w:bCs/>
                <w:color w:val="auto"/>
                <w:sz w:val="22"/>
                <w:szCs w:val="22"/>
                <w:highlight w:val="none"/>
              </w:rPr>
              <w:t>根据正负偏离情况标注页码及参数偏离情况说明的。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6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5</w:t>
            </w:r>
          </w:p>
        </w:tc>
        <w:tc>
          <w:tcPr>
            <w:tcW w:w="12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widowControl/>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rPr>
            </w:pPr>
          </w:p>
          <w:p>
            <w:pPr>
              <w:keepNext w:val="0"/>
              <w:keepLines w:val="0"/>
              <w:pageBreakBefore w:val="0"/>
              <w:widowControl/>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实施方案</w:t>
            </w:r>
          </w:p>
          <w:p>
            <w:pPr>
              <w:keepNext w:val="0"/>
              <w:keepLines w:val="0"/>
              <w:pageBreakBefore w:val="0"/>
              <w:widowControl/>
              <w:kinsoku/>
              <w:wordWrap/>
              <w:overflowPunct/>
              <w:topLinePunct w:val="0"/>
              <w:autoSpaceDE/>
              <w:autoSpaceDN/>
              <w:bidi w:val="0"/>
              <w:adjustRightInd/>
              <w:spacing w:afterAutospacing="0" w:line="300" w:lineRule="exact"/>
              <w:jc w:val="center"/>
              <w:textAlignment w:val="auto"/>
              <w:rPr>
                <w:rFonts w:hint="eastAsia" w:ascii="仿宋_GB2312" w:hAnsi="仿宋_GB2312" w:eastAsia="仿宋_GB2312" w:cs="仿宋_GB2312"/>
                <w:color w:val="auto"/>
                <w:sz w:val="22"/>
                <w:szCs w:val="22"/>
                <w:highlight w:val="none"/>
                <w:lang w:eastAsia="zh-CN"/>
              </w:rPr>
            </w:pPr>
            <w:r>
              <w:rPr>
                <w:rFonts w:hint="eastAsia" w:ascii="仿宋_GB2312" w:hAnsi="仿宋_GB2312" w:eastAsia="仿宋_GB2312" w:cs="仿宋_GB2312"/>
                <w:color w:val="auto"/>
                <w:sz w:val="22"/>
                <w:szCs w:val="22"/>
                <w:highlight w:val="none"/>
                <w:lang w:eastAsia="zh-CN"/>
              </w:rPr>
              <w:t>（</w:t>
            </w:r>
            <w:r>
              <w:rPr>
                <w:rFonts w:hint="eastAsia" w:ascii="仿宋_GB2312" w:hAnsi="仿宋_GB2312" w:eastAsia="仿宋_GB2312" w:cs="仿宋_GB2312"/>
                <w:color w:val="auto"/>
                <w:sz w:val="22"/>
                <w:szCs w:val="22"/>
                <w:highlight w:val="none"/>
                <w:lang w:val="en-US" w:eastAsia="zh-CN"/>
              </w:rPr>
              <w:t>16</w:t>
            </w:r>
            <w:r>
              <w:rPr>
                <w:rFonts w:hint="eastAsia" w:ascii="仿宋_GB2312" w:hAnsi="仿宋_GB2312" w:eastAsia="仿宋_GB2312" w:cs="仿宋_GB2312"/>
                <w:color w:val="auto"/>
                <w:sz w:val="22"/>
                <w:szCs w:val="22"/>
                <w:highlight w:val="none"/>
                <w:lang w:val="en-US" w:eastAsia="zh-CN"/>
              </w:rPr>
              <w:t>分</w:t>
            </w:r>
            <w:r>
              <w:rPr>
                <w:rFonts w:hint="eastAsia" w:ascii="仿宋_GB2312" w:hAnsi="仿宋_GB2312" w:eastAsia="仿宋_GB2312" w:cs="仿宋_GB2312"/>
                <w:color w:val="auto"/>
                <w:sz w:val="22"/>
                <w:szCs w:val="22"/>
                <w:highlight w:val="none"/>
                <w:lang w:eastAsia="zh-CN"/>
              </w:rPr>
              <w:t>）</w:t>
            </w:r>
          </w:p>
        </w:tc>
        <w:tc>
          <w:tcPr>
            <w:tcW w:w="7725" w:type="dxa"/>
            <w:tcBorders>
              <w:top w:val="single" w:color="auto" w:sz="2" w:space="0"/>
              <w:left w:val="single" w:color="auto" w:sz="2" w:space="0"/>
              <w:bottom w:val="single" w:color="auto" w:sz="2" w:space="0"/>
              <w:right w:val="single" w:color="auto" w:sz="2" w:space="0"/>
            </w:tcBorders>
            <w:noWrap w:val="0"/>
            <w:vAlign w:val="top"/>
          </w:tcPr>
          <w:p>
            <w:pPr>
              <w:keepNext w:val="0"/>
              <w:keepLines w:val="0"/>
              <w:pageBreakBefore w:val="0"/>
              <w:widowControl/>
              <w:kinsoku/>
              <w:wordWrap/>
              <w:overflowPunct/>
              <w:topLinePunct w:val="0"/>
              <w:autoSpaceDE/>
              <w:autoSpaceDN/>
              <w:bidi w:val="0"/>
              <w:adjustRightInd/>
              <w:spacing w:afterAutospacing="0" w:line="300" w:lineRule="exact"/>
              <w:jc w:val="left"/>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根据</w:t>
            </w:r>
            <w:r>
              <w:rPr>
                <w:rFonts w:hint="eastAsia" w:ascii="仿宋_GB2312" w:hAnsi="仿宋_GB2312" w:eastAsia="仿宋_GB2312" w:cs="仿宋_GB2312"/>
                <w:color w:val="auto"/>
                <w:sz w:val="22"/>
                <w:szCs w:val="22"/>
                <w:highlight w:val="none"/>
                <w:lang w:eastAsia="zh-CN"/>
              </w:rPr>
              <w:t>报价</w:t>
            </w:r>
            <w:r>
              <w:rPr>
                <w:rFonts w:hint="eastAsia" w:ascii="仿宋_GB2312" w:hAnsi="仿宋_GB2312" w:eastAsia="仿宋_GB2312" w:cs="仿宋_GB2312"/>
                <w:color w:val="auto"/>
                <w:sz w:val="22"/>
                <w:szCs w:val="22"/>
                <w:highlight w:val="none"/>
              </w:rPr>
              <w:t>文件提供的项目管理、安装就位方案及交货进度、安装调试周期情况、人员安排、质量保障措施、安全文明措施、等进行综合评审。针对本项目提供项目管理、时间进度、人员组织、质量及安全文明保障措施、组织设计方案等有关措施的描述详尽、合理的，得</w:t>
            </w:r>
            <w:r>
              <w:rPr>
                <w:rFonts w:hint="eastAsia" w:ascii="仿宋_GB2312" w:hAnsi="仿宋_GB2312" w:eastAsia="仿宋_GB2312" w:cs="仿宋_GB2312"/>
                <w:color w:val="auto"/>
                <w:sz w:val="22"/>
                <w:szCs w:val="22"/>
                <w:highlight w:val="none"/>
                <w:lang w:val="en-US" w:eastAsia="zh-CN"/>
              </w:rPr>
              <w:t>10-16</w:t>
            </w:r>
            <w:r>
              <w:rPr>
                <w:rFonts w:hint="eastAsia" w:ascii="仿宋_GB2312" w:hAnsi="仿宋_GB2312" w:eastAsia="仿宋_GB2312" w:cs="仿宋_GB2312"/>
                <w:color w:val="auto"/>
                <w:sz w:val="22"/>
                <w:szCs w:val="22"/>
                <w:highlight w:val="none"/>
              </w:rPr>
              <w:t>分；提供的项目管理、时间进度、人员组织、质量及安全文明保障措施、组织设计方案等有关措施描述基本符合项目情况、合理的，得</w:t>
            </w:r>
            <w:r>
              <w:rPr>
                <w:rFonts w:hint="eastAsia" w:ascii="仿宋_GB2312" w:hAnsi="仿宋_GB2312" w:eastAsia="仿宋_GB2312" w:cs="仿宋_GB2312"/>
                <w:color w:val="auto"/>
                <w:sz w:val="22"/>
                <w:szCs w:val="22"/>
                <w:highlight w:val="none"/>
                <w:lang w:val="en-US" w:eastAsia="zh-CN"/>
              </w:rPr>
              <w:t>5-9</w:t>
            </w:r>
            <w:r>
              <w:rPr>
                <w:rFonts w:hint="eastAsia" w:ascii="仿宋_GB2312" w:hAnsi="仿宋_GB2312" w:eastAsia="仿宋_GB2312" w:cs="仿宋_GB2312"/>
                <w:color w:val="auto"/>
                <w:sz w:val="22"/>
                <w:szCs w:val="22"/>
                <w:highlight w:val="none"/>
              </w:rPr>
              <w:t>分；提供的项目管理、时间进度、人员组织、质量及安全文明保障措施、组织设计方案等有关措施的描述一般或有缺漏，不能完全按要求完成的，得</w:t>
            </w:r>
            <w:r>
              <w:rPr>
                <w:rFonts w:hint="eastAsia" w:ascii="仿宋_GB2312" w:hAnsi="仿宋_GB2312" w:eastAsia="仿宋_GB2312" w:cs="仿宋_GB2312"/>
                <w:color w:val="auto"/>
                <w:sz w:val="22"/>
                <w:szCs w:val="22"/>
                <w:highlight w:val="none"/>
                <w:lang w:val="en-US" w:eastAsia="zh-CN"/>
              </w:rPr>
              <w:t>1-4</w:t>
            </w:r>
            <w:r>
              <w:rPr>
                <w:rFonts w:hint="eastAsia" w:ascii="仿宋_GB2312" w:hAnsi="仿宋_GB2312" w:eastAsia="仿宋_GB2312" w:cs="仿宋_GB2312"/>
                <w:color w:val="auto"/>
                <w:sz w:val="22"/>
                <w:szCs w:val="22"/>
                <w:highlight w:val="none"/>
              </w:rPr>
              <w:t>分。</w:t>
            </w:r>
            <w:r>
              <w:rPr>
                <w:rFonts w:hint="eastAsia" w:ascii="仿宋_GB2312" w:hAnsi="仿宋_GB2312" w:eastAsia="仿宋_GB2312" w:cs="仿宋_GB2312"/>
                <w:color w:val="auto"/>
                <w:sz w:val="22"/>
                <w:szCs w:val="22"/>
                <w:highlight w:val="none"/>
                <w:lang w:eastAsia="zh-CN"/>
              </w:rPr>
              <w:t>未提供得</w:t>
            </w:r>
            <w:r>
              <w:rPr>
                <w:rFonts w:hint="eastAsia" w:ascii="仿宋_GB2312" w:hAnsi="仿宋_GB2312" w:eastAsia="仿宋_GB2312" w:cs="仿宋_GB2312"/>
                <w:color w:val="auto"/>
                <w:sz w:val="22"/>
                <w:szCs w:val="22"/>
                <w:highlight w:val="none"/>
                <w:lang w:val="en-US" w:eastAsia="zh-CN"/>
              </w:rPr>
              <w:t>0分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6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kinsoku/>
              <w:wordWrap/>
              <w:overflowPunct/>
              <w:topLinePunct w:val="0"/>
              <w:autoSpaceDE/>
              <w:autoSpaceDN/>
              <w:bidi w:val="0"/>
              <w:adjustRightInd/>
              <w:snapToGrid w:val="0"/>
              <w:spacing w:afterAutospacing="0" w:line="300" w:lineRule="exact"/>
              <w:ind w:firstLine="220" w:firstLineChars="100"/>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6</w:t>
            </w:r>
          </w:p>
        </w:tc>
        <w:tc>
          <w:tcPr>
            <w:tcW w:w="1290"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kinsoku/>
              <w:wordWrap/>
              <w:overflowPunct/>
              <w:topLinePunct w:val="0"/>
              <w:autoSpaceDE/>
              <w:autoSpaceDN/>
              <w:bidi w:val="0"/>
              <w:adjustRightInd/>
              <w:snapToGrid w:val="0"/>
              <w:spacing w:afterAutospacing="0" w:line="30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售后服务方案</w:t>
            </w:r>
          </w:p>
          <w:p>
            <w:pPr>
              <w:keepNext w:val="0"/>
              <w:keepLines w:val="0"/>
              <w:pageBreakBefore w:val="0"/>
              <w:kinsoku/>
              <w:wordWrap/>
              <w:overflowPunct/>
              <w:topLinePunct w:val="0"/>
              <w:autoSpaceDE/>
              <w:autoSpaceDN/>
              <w:bidi w:val="0"/>
              <w:adjustRightInd/>
              <w:snapToGrid w:val="0"/>
              <w:spacing w:afterAutospacing="0" w:line="300" w:lineRule="exact"/>
              <w:jc w:val="center"/>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w:t>
            </w:r>
            <w:r>
              <w:rPr>
                <w:rFonts w:hint="eastAsia" w:ascii="仿宋_GB2312" w:hAnsi="仿宋_GB2312" w:eastAsia="仿宋_GB2312" w:cs="仿宋_GB2312"/>
                <w:color w:val="auto"/>
                <w:sz w:val="22"/>
                <w:szCs w:val="22"/>
                <w:highlight w:val="none"/>
                <w:lang w:val="en-US" w:eastAsia="zh-CN"/>
              </w:rPr>
              <w:t>20</w:t>
            </w:r>
            <w:r>
              <w:rPr>
                <w:rFonts w:hint="eastAsia" w:ascii="仿宋_GB2312" w:hAnsi="仿宋_GB2312" w:eastAsia="仿宋_GB2312" w:cs="仿宋_GB2312"/>
                <w:color w:val="auto"/>
                <w:sz w:val="22"/>
                <w:szCs w:val="22"/>
                <w:highlight w:val="none"/>
              </w:rPr>
              <w:t>分）</w:t>
            </w:r>
          </w:p>
        </w:tc>
        <w:tc>
          <w:tcPr>
            <w:tcW w:w="7725" w:type="dxa"/>
            <w:tcBorders>
              <w:top w:val="single" w:color="auto" w:sz="2" w:space="0"/>
              <w:left w:val="single" w:color="auto" w:sz="2" w:space="0"/>
              <w:bottom w:val="single" w:color="auto" w:sz="2" w:space="0"/>
              <w:right w:val="single" w:color="auto" w:sz="2" w:space="0"/>
            </w:tcBorders>
            <w:noWrap w:val="0"/>
            <w:vAlign w:val="center"/>
          </w:tcPr>
          <w:p>
            <w:pPr>
              <w:keepNext w:val="0"/>
              <w:keepLines w:val="0"/>
              <w:pageBreakBefore w:val="0"/>
              <w:kinsoku/>
              <w:wordWrap/>
              <w:overflowPunct/>
              <w:topLinePunct w:val="0"/>
              <w:autoSpaceDE/>
              <w:autoSpaceDN/>
              <w:bidi w:val="0"/>
              <w:adjustRightInd/>
              <w:spacing w:afterAutospacing="0" w:line="300" w:lineRule="exact"/>
              <w:jc w:val="left"/>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质保期内对设备提供的质量保证、软件功能更新、硬件设备故障更换（非人为原因）、设备运行维护培训等：各项服务内容完善、具体运维服务实施方案与措施强尽，</w:t>
            </w:r>
            <w:r>
              <w:rPr>
                <w:rFonts w:hint="eastAsia" w:ascii="仿宋_GB2312" w:hAnsi="仿宋_GB2312" w:eastAsia="仿宋_GB2312" w:cs="仿宋_GB2312"/>
                <w:color w:val="auto"/>
                <w:sz w:val="22"/>
                <w:szCs w:val="22"/>
                <w:highlight w:val="none"/>
                <w:lang w:eastAsia="zh-CN"/>
              </w:rPr>
              <w:t>培训计划合理，</w:t>
            </w:r>
            <w:r>
              <w:rPr>
                <w:rFonts w:hint="eastAsia" w:ascii="仿宋_GB2312" w:hAnsi="仿宋_GB2312" w:eastAsia="仿宋_GB2312" w:cs="仿宋_GB2312"/>
                <w:color w:val="auto"/>
                <w:sz w:val="22"/>
                <w:szCs w:val="22"/>
                <w:highlight w:val="none"/>
              </w:rPr>
              <w:t>得 1</w:t>
            </w:r>
            <w:r>
              <w:rPr>
                <w:rFonts w:hint="eastAsia" w:ascii="仿宋_GB2312" w:hAnsi="仿宋_GB2312" w:eastAsia="仿宋_GB2312" w:cs="仿宋_GB2312"/>
                <w:color w:val="auto"/>
                <w:sz w:val="22"/>
                <w:szCs w:val="22"/>
                <w:highlight w:val="none"/>
                <w:lang w:val="en-US" w:eastAsia="zh-CN"/>
              </w:rPr>
              <w:t>5</w:t>
            </w:r>
            <w:r>
              <w:rPr>
                <w:rFonts w:hint="eastAsia" w:ascii="仿宋_GB2312" w:hAnsi="仿宋_GB2312" w:eastAsia="仿宋_GB2312" w:cs="仿宋_GB2312"/>
                <w:color w:val="auto"/>
                <w:sz w:val="22"/>
                <w:szCs w:val="22"/>
                <w:highlight w:val="none"/>
              </w:rPr>
              <w:t>-2</w:t>
            </w:r>
            <w:r>
              <w:rPr>
                <w:rFonts w:hint="eastAsia" w:ascii="仿宋_GB2312" w:hAnsi="仿宋_GB2312" w:eastAsia="仿宋_GB2312" w:cs="仿宋_GB2312"/>
                <w:color w:val="auto"/>
                <w:sz w:val="22"/>
                <w:szCs w:val="22"/>
                <w:highlight w:val="none"/>
                <w:lang w:val="en-US" w:eastAsia="zh-CN"/>
              </w:rPr>
              <w:t>0</w:t>
            </w:r>
            <w:r>
              <w:rPr>
                <w:rFonts w:hint="eastAsia" w:ascii="仿宋_GB2312" w:hAnsi="仿宋_GB2312" w:eastAsia="仿宋_GB2312" w:cs="仿宋_GB2312"/>
                <w:color w:val="auto"/>
                <w:sz w:val="22"/>
                <w:szCs w:val="22"/>
                <w:highlight w:val="none"/>
              </w:rPr>
              <w:t>分；各项服务内容一般、具体运维服务实施方案与措施有描述，但有所欠缺，</w:t>
            </w:r>
            <w:r>
              <w:rPr>
                <w:rFonts w:hint="eastAsia" w:ascii="仿宋_GB2312" w:hAnsi="仿宋_GB2312" w:eastAsia="仿宋_GB2312" w:cs="仿宋_GB2312"/>
                <w:color w:val="auto"/>
                <w:sz w:val="22"/>
                <w:szCs w:val="22"/>
                <w:highlight w:val="none"/>
                <w:lang w:eastAsia="zh-CN"/>
              </w:rPr>
              <w:t>培训方案简单或存在不足，</w:t>
            </w:r>
            <w:r>
              <w:rPr>
                <w:rFonts w:hint="eastAsia" w:ascii="仿宋_GB2312" w:hAnsi="仿宋_GB2312" w:eastAsia="仿宋_GB2312" w:cs="仿宋_GB2312"/>
                <w:color w:val="auto"/>
                <w:sz w:val="22"/>
                <w:szCs w:val="22"/>
                <w:highlight w:val="none"/>
              </w:rPr>
              <w:t>得8-</w:t>
            </w:r>
            <w:r>
              <w:rPr>
                <w:rFonts w:hint="eastAsia" w:ascii="仿宋_GB2312" w:hAnsi="仿宋_GB2312" w:eastAsia="仿宋_GB2312" w:cs="仿宋_GB2312"/>
                <w:color w:val="auto"/>
                <w:sz w:val="22"/>
                <w:szCs w:val="22"/>
                <w:highlight w:val="none"/>
                <w:lang w:val="en-US" w:eastAsia="zh-CN"/>
              </w:rPr>
              <w:t>14</w:t>
            </w:r>
            <w:r>
              <w:rPr>
                <w:rFonts w:hint="eastAsia" w:ascii="仿宋_GB2312" w:hAnsi="仿宋_GB2312" w:eastAsia="仿宋_GB2312" w:cs="仿宋_GB2312"/>
                <w:color w:val="auto"/>
                <w:sz w:val="22"/>
                <w:szCs w:val="22"/>
                <w:highlight w:val="none"/>
              </w:rPr>
              <w:t>分；各项服务内容缺失、具体运维服务实施方案与措施不完备较多，</w:t>
            </w:r>
            <w:r>
              <w:rPr>
                <w:rFonts w:hint="eastAsia" w:ascii="仿宋_GB2312" w:hAnsi="仿宋_GB2312" w:eastAsia="仿宋_GB2312" w:cs="仿宋_GB2312"/>
                <w:color w:val="auto"/>
                <w:sz w:val="22"/>
                <w:szCs w:val="22"/>
                <w:highlight w:val="none"/>
                <w:lang w:eastAsia="zh-CN"/>
              </w:rPr>
              <w:t>未提供任何方案或完全不匹配实际情况，</w:t>
            </w:r>
            <w:r>
              <w:rPr>
                <w:rFonts w:hint="eastAsia" w:ascii="仿宋_GB2312" w:hAnsi="仿宋_GB2312" w:eastAsia="仿宋_GB2312" w:cs="仿宋_GB2312"/>
                <w:color w:val="auto"/>
                <w:sz w:val="22"/>
                <w:szCs w:val="22"/>
                <w:highlight w:val="none"/>
              </w:rPr>
              <w:t>得1-7 分；无</w:t>
            </w:r>
            <w:r>
              <w:rPr>
                <w:rFonts w:hint="eastAsia" w:ascii="仿宋_GB2312" w:hAnsi="仿宋_GB2312" w:eastAsia="仿宋_GB2312" w:cs="仿宋_GB2312"/>
                <w:color w:val="auto"/>
                <w:sz w:val="22"/>
                <w:szCs w:val="22"/>
                <w:highlight w:val="none"/>
                <w:lang w:eastAsia="zh-CN"/>
              </w:rPr>
              <w:t>任何服务内容、运维方案、培训方案，</w:t>
            </w:r>
            <w:r>
              <w:rPr>
                <w:rFonts w:hint="eastAsia" w:ascii="仿宋_GB2312" w:hAnsi="仿宋_GB2312" w:eastAsia="仿宋_GB2312" w:cs="仿宋_GB2312"/>
                <w:color w:val="auto"/>
                <w:sz w:val="22"/>
                <w:szCs w:val="22"/>
                <w:highlight w:val="none"/>
              </w:rPr>
              <w:t>得0分。</w:t>
            </w:r>
          </w:p>
        </w:tc>
      </w:tr>
    </w:tbl>
    <w:p>
      <w:pPr>
        <w:rPr>
          <w:rFonts w:hint="eastAsia" w:ascii="仿宋_GB2312" w:hAnsi="仿宋_GB2312" w:eastAsia="仿宋_GB2312" w:cs="仿宋_GB2312"/>
          <w:i w:val="0"/>
          <w:iCs w:val="0"/>
          <w:caps w:val="0"/>
          <w:color w:val="auto"/>
          <w:spacing w:val="0"/>
          <w:sz w:val="28"/>
          <w:szCs w:val="28"/>
          <w:highlight w:val="none"/>
          <w:lang w:val="en-US" w:eastAsia="zh-CN"/>
        </w:rPr>
      </w:pPr>
      <w:r>
        <w:rPr>
          <w:rFonts w:hint="eastAsia" w:ascii="仿宋_GB2312" w:hAnsi="仿宋_GB2312" w:eastAsia="仿宋_GB2312" w:cs="仿宋_GB2312"/>
          <w:i w:val="0"/>
          <w:iCs w:val="0"/>
          <w:caps w:val="0"/>
          <w:color w:val="auto"/>
          <w:spacing w:val="0"/>
          <w:sz w:val="28"/>
          <w:szCs w:val="28"/>
          <w:highlight w:val="none"/>
          <w:lang w:val="en-US" w:eastAsia="zh-CN"/>
        </w:rPr>
        <w:br w:type="page"/>
      </w:r>
    </w:p>
    <w:p>
      <w:pPr>
        <w:widowControl/>
        <w:spacing w:before="100" w:beforeAutospacing="1" w:after="100" w:afterAutospacing="1" w:line="360" w:lineRule="auto"/>
        <w:ind w:firstLine="482" w:firstLineChars="200"/>
        <w:jc w:val="center"/>
        <w:outlineLvl w:val="0"/>
        <w:rPr>
          <w:rFonts w:ascii="仿宋" w:hAnsi="仿宋" w:eastAsia="仿宋" w:cs="仿宋"/>
          <w:color w:val="auto"/>
          <w:kern w:val="0"/>
          <w:sz w:val="24"/>
          <w:highlight w:val="none"/>
        </w:rPr>
      </w:pPr>
      <w:r>
        <w:rPr>
          <w:rFonts w:hint="eastAsia" w:ascii="仿宋" w:hAnsi="仿宋" w:eastAsia="仿宋" w:cs="仿宋"/>
          <w:b/>
          <w:bCs/>
          <w:color w:val="auto"/>
          <w:kern w:val="36"/>
          <w:sz w:val="24"/>
          <w:highlight w:val="none"/>
        </w:rPr>
        <w:t>合同通用条款及专用条款</w:t>
      </w:r>
    </w:p>
    <w:p>
      <w:pPr>
        <w:shd w:val="clear" w:color="auto" w:fill="FFFFFF"/>
        <w:spacing w:before="100" w:beforeAutospacing="1" w:after="100" w:afterAutospacing="1"/>
        <w:jc w:val="right"/>
        <w:rPr>
          <w:rFonts w:ascii="宋体" w:hAnsi="宋体"/>
          <w:color w:val="auto"/>
          <w:szCs w:val="21"/>
          <w:highlight w:val="none"/>
        </w:rPr>
      </w:pPr>
      <w:r>
        <w:rPr>
          <w:rFonts w:hint="eastAsia" w:ascii="宋体" w:hAnsi="宋体"/>
          <w:b/>
          <w:bCs/>
          <w:color w:val="auto"/>
          <w:szCs w:val="21"/>
          <w:highlight w:val="none"/>
        </w:rPr>
        <w:t>合同编号：</w:t>
      </w:r>
    </w:p>
    <w:p>
      <w:pPr>
        <w:shd w:val="clear" w:color="auto" w:fill="FFFFFF"/>
        <w:ind w:firstLine="482"/>
        <w:rPr>
          <w:rFonts w:ascii="宋体" w:hAnsi="宋体"/>
          <w:b/>
          <w:color w:val="auto"/>
          <w:szCs w:val="21"/>
          <w:highlight w:val="none"/>
        </w:rPr>
      </w:pPr>
      <w:r>
        <w:rPr>
          <w:rFonts w:hint="eastAsia" w:ascii="宋体" w:hAnsi="宋体"/>
          <w:b/>
          <w:color w:val="auto"/>
          <w:szCs w:val="21"/>
          <w:highlight w:val="none"/>
        </w:rPr>
        <w:t>甲方（买方）：</w:t>
      </w:r>
    </w:p>
    <w:p>
      <w:pPr>
        <w:shd w:val="clear" w:color="auto" w:fill="FFFFFF"/>
        <w:ind w:firstLine="482"/>
        <w:rPr>
          <w:rFonts w:ascii="宋体" w:hAnsi="宋体"/>
          <w:b/>
          <w:color w:val="auto"/>
          <w:szCs w:val="21"/>
          <w:highlight w:val="none"/>
        </w:rPr>
      </w:pPr>
      <w:r>
        <w:rPr>
          <w:rFonts w:hint="eastAsia" w:ascii="宋体" w:hAnsi="宋体"/>
          <w:b/>
          <w:color w:val="auto"/>
          <w:szCs w:val="21"/>
          <w:highlight w:val="none"/>
        </w:rPr>
        <w:t>地址：</w:t>
      </w:r>
    </w:p>
    <w:p>
      <w:pPr>
        <w:shd w:val="clear" w:color="auto" w:fill="FFFFFF"/>
        <w:ind w:firstLine="482"/>
        <w:rPr>
          <w:rFonts w:ascii="宋体" w:hAnsi="宋体"/>
          <w:b/>
          <w:color w:val="auto"/>
          <w:szCs w:val="21"/>
          <w:highlight w:val="none"/>
        </w:rPr>
      </w:pPr>
      <w:r>
        <w:rPr>
          <w:rFonts w:hint="eastAsia" w:ascii="宋体" w:hAnsi="宋体"/>
          <w:b/>
          <w:color w:val="auto"/>
          <w:szCs w:val="21"/>
          <w:highlight w:val="none"/>
        </w:rPr>
        <w:t>电话：</w:t>
      </w:r>
    </w:p>
    <w:p>
      <w:pPr>
        <w:shd w:val="clear" w:color="auto" w:fill="FFFFFF"/>
        <w:ind w:firstLine="482"/>
        <w:rPr>
          <w:rFonts w:ascii="宋体" w:hAnsi="宋体"/>
          <w:b/>
          <w:color w:val="auto"/>
          <w:szCs w:val="21"/>
          <w:highlight w:val="none"/>
        </w:rPr>
      </w:pPr>
      <w:r>
        <w:rPr>
          <w:rFonts w:hint="eastAsia" w:ascii="宋体" w:hAnsi="宋体"/>
          <w:b/>
          <w:color w:val="auto"/>
          <w:szCs w:val="21"/>
          <w:highlight w:val="none"/>
        </w:rPr>
        <w:t>联系人：</w:t>
      </w:r>
    </w:p>
    <w:p>
      <w:pPr>
        <w:shd w:val="clear" w:color="auto" w:fill="FFFFFF"/>
        <w:ind w:firstLine="482"/>
        <w:rPr>
          <w:rFonts w:ascii="宋体" w:hAnsi="宋体" w:cs="Calibri"/>
          <w:color w:val="auto"/>
          <w:szCs w:val="21"/>
          <w:highlight w:val="none"/>
        </w:rPr>
      </w:pPr>
    </w:p>
    <w:p>
      <w:pPr>
        <w:shd w:val="clear" w:color="auto" w:fill="FFFFFF"/>
        <w:ind w:firstLine="482"/>
        <w:rPr>
          <w:rFonts w:ascii="宋体" w:hAnsi="宋体"/>
          <w:b/>
          <w:color w:val="auto"/>
          <w:szCs w:val="21"/>
          <w:highlight w:val="none"/>
        </w:rPr>
      </w:pPr>
      <w:r>
        <w:rPr>
          <w:rFonts w:hint="eastAsia" w:ascii="宋体" w:hAnsi="宋体"/>
          <w:b/>
          <w:color w:val="auto"/>
          <w:szCs w:val="21"/>
          <w:highlight w:val="none"/>
        </w:rPr>
        <w:t>乙方（卖方）：</w:t>
      </w:r>
    </w:p>
    <w:p>
      <w:pPr>
        <w:shd w:val="clear" w:color="auto" w:fill="FFFFFF"/>
        <w:ind w:firstLine="482"/>
        <w:rPr>
          <w:rFonts w:ascii="宋体" w:hAnsi="宋体"/>
          <w:b/>
          <w:color w:val="auto"/>
          <w:szCs w:val="21"/>
          <w:highlight w:val="none"/>
        </w:rPr>
      </w:pPr>
      <w:r>
        <w:rPr>
          <w:rFonts w:hint="eastAsia" w:ascii="宋体" w:hAnsi="宋体"/>
          <w:b/>
          <w:color w:val="auto"/>
          <w:szCs w:val="21"/>
          <w:highlight w:val="none"/>
        </w:rPr>
        <w:t>地址：</w:t>
      </w:r>
    </w:p>
    <w:p>
      <w:pPr>
        <w:shd w:val="clear" w:color="auto" w:fill="FFFFFF"/>
        <w:ind w:firstLine="482"/>
        <w:rPr>
          <w:rFonts w:ascii="宋体" w:hAnsi="宋体"/>
          <w:b/>
          <w:color w:val="auto"/>
          <w:szCs w:val="21"/>
          <w:highlight w:val="none"/>
        </w:rPr>
      </w:pPr>
      <w:r>
        <w:rPr>
          <w:rFonts w:hint="eastAsia" w:ascii="宋体" w:hAnsi="宋体"/>
          <w:b/>
          <w:color w:val="auto"/>
          <w:szCs w:val="21"/>
          <w:highlight w:val="none"/>
        </w:rPr>
        <w:t>电话：</w:t>
      </w:r>
    </w:p>
    <w:p>
      <w:pPr>
        <w:shd w:val="clear" w:color="auto" w:fill="FFFFFF"/>
        <w:ind w:firstLine="482"/>
        <w:rPr>
          <w:rFonts w:ascii="宋体" w:hAnsi="宋体"/>
          <w:b/>
          <w:color w:val="auto"/>
          <w:szCs w:val="21"/>
          <w:highlight w:val="none"/>
        </w:rPr>
      </w:pPr>
      <w:r>
        <w:rPr>
          <w:rFonts w:hint="eastAsia" w:ascii="宋体" w:hAnsi="宋体"/>
          <w:b/>
          <w:color w:val="auto"/>
          <w:szCs w:val="21"/>
          <w:highlight w:val="none"/>
        </w:rPr>
        <w:t>联系人：</w:t>
      </w:r>
    </w:p>
    <w:p>
      <w:pPr>
        <w:shd w:val="clear" w:color="auto" w:fill="FFFFFF"/>
        <w:ind w:firstLine="482"/>
        <w:rPr>
          <w:rFonts w:ascii="宋体" w:hAnsi="宋体"/>
          <w:b/>
          <w:color w:val="auto"/>
          <w:szCs w:val="21"/>
          <w:highlight w:val="none"/>
        </w:rPr>
      </w:pPr>
    </w:p>
    <w:p>
      <w:pPr>
        <w:shd w:val="clear" w:color="auto" w:fill="FFFFFF"/>
        <w:spacing w:line="380" w:lineRule="exact"/>
        <w:ind w:firstLine="480"/>
        <w:rPr>
          <w:color w:val="auto"/>
          <w:szCs w:val="21"/>
          <w:highlight w:val="none"/>
        </w:rPr>
      </w:pPr>
      <w:r>
        <w:rPr>
          <w:color w:val="auto"/>
          <w:szCs w:val="21"/>
          <w:highlight w:val="none"/>
        </w:rPr>
        <w:t>根据《中华人民共和国政府采购法》、《中华人民共和国合同法》之规定，本合同当事人在平等、自愿基础上，经协商一致，同意按下述条款和条件签署本合同：</w:t>
      </w:r>
    </w:p>
    <w:p>
      <w:pPr>
        <w:pStyle w:val="10"/>
        <w:spacing w:line="380" w:lineRule="exact"/>
        <w:rPr>
          <w:rFonts w:eastAsia="宋体" w:cs="Times New Roman"/>
          <w:b/>
          <w:color w:val="auto"/>
          <w:sz w:val="21"/>
          <w:szCs w:val="21"/>
          <w:highlight w:val="none"/>
        </w:rPr>
      </w:pPr>
      <w:bookmarkStart w:id="0" w:name="_Toc8251059"/>
      <w:bookmarkStart w:id="1" w:name="_Toc60840784"/>
      <w:bookmarkStart w:id="2" w:name="_Toc8282791"/>
      <w:r>
        <w:rPr>
          <w:rFonts w:eastAsia="宋体" w:cs="Times New Roman"/>
          <w:b/>
          <w:color w:val="auto"/>
          <w:sz w:val="21"/>
          <w:szCs w:val="21"/>
          <w:highlight w:val="none"/>
        </w:rPr>
        <w:t>1．货物信息</w:t>
      </w:r>
      <w:bookmarkEnd w:id="0"/>
      <w:bookmarkEnd w:id="1"/>
      <w:bookmarkEnd w:id="2"/>
    </w:p>
    <w:p>
      <w:pPr>
        <w:shd w:val="clear" w:color="auto" w:fill="FFFFFF"/>
        <w:spacing w:line="380" w:lineRule="exact"/>
        <w:ind w:firstLine="480"/>
        <w:rPr>
          <w:color w:val="auto"/>
          <w:szCs w:val="21"/>
          <w:highlight w:val="none"/>
        </w:rPr>
      </w:pPr>
      <w:r>
        <w:rPr>
          <w:color w:val="auto"/>
          <w:szCs w:val="21"/>
          <w:highlight w:val="none"/>
        </w:rPr>
        <w:t>乙方所提供的</w:t>
      </w:r>
      <w:r>
        <w:rPr>
          <w:rFonts w:hint="eastAsia"/>
          <w:color w:val="auto"/>
          <w:szCs w:val="21"/>
          <w:highlight w:val="none"/>
        </w:rPr>
        <w:t>固废视频监控系统硬件防火墙（含软件</w:t>
      </w:r>
      <w:r>
        <w:rPr>
          <w:rFonts w:hint="eastAsia"/>
          <w:color w:val="auto"/>
          <w:szCs w:val="21"/>
          <w:highlight w:val="none"/>
          <w:lang w:eastAsia="zh-CN"/>
        </w:rPr>
        <w:t>）</w:t>
      </w:r>
      <w:r>
        <w:rPr>
          <w:color w:val="auto"/>
          <w:szCs w:val="21"/>
          <w:highlight w:val="none"/>
        </w:rPr>
        <w:t>应符合国家的有关规定，货物的规格型号、配置、功能、制造商、产地、单价、数量等信息详见招标文件和投标文件。</w:t>
      </w:r>
    </w:p>
    <w:p>
      <w:pPr>
        <w:shd w:val="clear" w:color="auto" w:fill="FFFFFF"/>
        <w:spacing w:line="380" w:lineRule="exact"/>
        <w:ind w:firstLine="480"/>
        <w:rPr>
          <w:color w:val="auto"/>
          <w:szCs w:val="21"/>
          <w:highlight w:val="none"/>
        </w:rPr>
      </w:pPr>
      <w:r>
        <w:rPr>
          <w:color w:val="auto"/>
          <w:szCs w:val="21"/>
          <w:highlight w:val="none"/>
        </w:rPr>
        <w:t>本合同的合同价为人民币</w:t>
      </w:r>
      <w:r>
        <w:rPr>
          <w:rFonts w:hint="eastAsia"/>
          <w:color w:val="auto"/>
          <w:szCs w:val="21"/>
          <w:highlight w:val="none"/>
          <w:u w:val="single"/>
        </w:rPr>
        <w:t xml:space="preserve">       </w:t>
      </w:r>
      <w:r>
        <w:rPr>
          <w:color w:val="auto"/>
          <w:szCs w:val="21"/>
          <w:highlight w:val="none"/>
        </w:rPr>
        <w:t>元整。与交货有关的所有费用应包含在合同价中，买方不再另行支付任何费用。</w:t>
      </w:r>
    </w:p>
    <w:p>
      <w:pPr>
        <w:pStyle w:val="10"/>
        <w:spacing w:line="380" w:lineRule="exact"/>
        <w:rPr>
          <w:rFonts w:eastAsia="宋体" w:cs="Times New Roman"/>
          <w:b/>
          <w:color w:val="auto"/>
          <w:sz w:val="21"/>
          <w:szCs w:val="21"/>
          <w:highlight w:val="none"/>
        </w:rPr>
      </w:pPr>
      <w:bookmarkStart w:id="3" w:name="_Toc8282792"/>
      <w:bookmarkStart w:id="4" w:name="_Toc60840785"/>
      <w:bookmarkStart w:id="5" w:name="_Toc8251060"/>
      <w:r>
        <w:rPr>
          <w:rFonts w:eastAsia="宋体" w:cs="Times New Roman"/>
          <w:b/>
          <w:color w:val="auto"/>
          <w:sz w:val="21"/>
          <w:szCs w:val="21"/>
          <w:highlight w:val="none"/>
        </w:rPr>
        <w:t>2．交货地点、时间和交货状态</w:t>
      </w:r>
      <w:bookmarkEnd w:id="3"/>
      <w:bookmarkEnd w:id="4"/>
      <w:bookmarkEnd w:id="5"/>
    </w:p>
    <w:p>
      <w:pPr>
        <w:shd w:val="clear" w:color="auto" w:fill="FFFFFF"/>
        <w:spacing w:line="380" w:lineRule="exact"/>
        <w:ind w:firstLine="480"/>
        <w:rPr>
          <w:color w:val="auto"/>
          <w:szCs w:val="21"/>
          <w:highlight w:val="none"/>
          <w:u w:val="single"/>
        </w:rPr>
      </w:pPr>
      <w:r>
        <w:rPr>
          <w:color w:val="auto"/>
          <w:szCs w:val="21"/>
          <w:highlight w:val="none"/>
        </w:rPr>
        <w:t>2.1交货地点：</w:t>
      </w:r>
      <w:r>
        <w:rPr>
          <w:rFonts w:hint="eastAsia"/>
          <w:color w:val="auto"/>
          <w:szCs w:val="21"/>
          <w:highlight w:val="none"/>
          <w:u w:val="single"/>
        </w:rPr>
        <w:t xml:space="preserve">   </w:t>
      </w:r>
      <w:r>
        <w:rPr>
          <w:rFonts w:hint="eastAsia"/>
          <w:color w:val="auto"/>
          <w:szCs w:val="21"/>
          <w:highlight w:val="none"/>
          <w:u w:val="single"/>
          <w:lang w:eastAsia="zh-CN"/>
        </w:rPr>
        <w:t>上海市松江区荣乐东路</w:t>
      </w:r>
      <w:r>
        <w:rPr>
          <w:rFonts w:hint="eastAsia"/>
          <w:color w:val="auto"/>
          <w:szCs w:val="21"/>
          <w:highlight w:val="none"/>
          <w:u w:val="single"/>
          <w:lang w:val="en-US" w:eastAsia="zh-CN"/>
        </w:rPr>
        <w:t>2279号</w:t>
      </w:r>
      <w:r>
        <w:rPr>
          <w:rFonts w:hint="eastAsia"/>
          <w:color w:val="auto"/>
          <w:szCs w:val="21"/>
          <w:highlight w:val="none"/>
          <w:u w:val="single"/>
        </w:rPr>
        <w:t xml:space="preserve">     </w:t>
      </w:r>
    </w:p>
    <w:p>
      <w:pPr>
        <w:shd w:val="clear" w:color="auto" w:fill="FFFFFF"/>
        <w:spacing w:line="380" w:lineRule="exact"/>
        <w:ind w:firstLine="480"/>
        <w:rPr>
          <w:color w:val="auto"/>
          <w:szCs w:val="21"/>
          <w:highlight w:val="none"/>
          <w:u w:val="single"/>
        </w:rPr>
      </w:pPr>
      <w:r>
        <w:rPr>
          <w:color w:val="auto"/>
          <w:szCs w:val="21"/>
          <w:highlight w:val="none"/>
        </w:rPr>
        <w:t>2.2交货时间：</w:t>
      </w:r>
      <w:r>
        <w:rPr>
          <w:rFonts w:hint="eastAsia"/>
          <w:color w:val="auto"/>
          <w:szCs w:val="21"/>
          <w:highlight w:val="none"/>
          <w:u w:val="single"/>
        </w:rPr>
        <w:t xml:space="preserve"> </w:t>
      </w:r>
      <w:r>
        <w:rPr>
          <w:rFonts w:hint="eastAsia"/>
          <w:color w:val="auto"/>
          <w:szCs w:val="21"/>
          <w:highlight w:val="none"/>
          <w:u w:val="single"/>
          <w:lang w:eastAsia="zh-CN"/>
        </w:rPr>
        <w:t>合同签订后</w:t>
      </w:r>
      <w:r>
        <w:rPr>
          <w:rFonts w:hint="eastAsia"/>
          <w:color w:val="auto"/>
          <w:szCs w:val="21"/>
          <w:highlight w:val="none"/>
          <w:u w:val="single"/>
          <w:lang w:val="en-US" w:eastAsia="zh-CN"/>
        </w:rPr>
        <w:t>30天内</w:t>
      </w:r>
      <w:r>
        <w:rPr>
          <w:rFonts w:hint="eastAsia"/>
          <w:color w:val="auto"/>
          <w:szCs w:val="21"/>
          <w:highlight w:val="none"/>
          <w:u w:val="single"/>
        </w:rPr>
        <w:t xml:space="preserve">        </w:t>
      </w:r>
    </w:p>
    <w:p>
      <w:pPr>
        <w:shd w:val="clear" w:color="auto" w:fill="FFFFFF"/>
        <w:spacing w:line="380" w:lineRule="exact"/>
        <w:ind w:firstLine="480"/>
        <w:rPr>
          <w:color w:val="auto"/>
          <w:szCs w:val="21"/>
          <w:highlight w:val="none"/>
        </w:rPr>
      </w:pPr>
      <w:r>
        <w:rPr>
          <w:color w:val="auto"/>
          <w:szCs w:val="21"/>
          <w:highlight w:val="none"/>
        </w:rPr>
        <w:t>2.3交货状态：</w:t>
      </w:r>
      <w:r>
        <w:rPr>
          <w:rFonts w:hint="eastAsia"/>
          <w:color w:val="auto"/>
          <w:szCs w:val="21"/>
          <w:highlight w:val="none"/>
          <w:u w:val="single"/>
        </w:rPr>
        <w:t>（</w:t>
      </w:r>
      <w:r>
        <w:rPr>
          <w:color w:val="auto"/>
          <w:szCs w:val="21"/>
          <w:highlight w:val="none"/>
          <w:u w:val="single"/>
        </w:rPr>
        <w:t>设备安装、调试、验收合格</w:t>
      </w:r>
      <w:r>
        <w:rPr>
          <w:rFonts w:hint="eastAsia"/>
          <w:color w:val="auto"/>
          <w:szCs w:val="21"/>
          <w:highlight w:val="none"/>
          <w:u w:val="single"/>
        </w:rPr>
        <w:t>等）</w:t>
      </w:r>
      <w:r>
        <w:rPr>
          <w:color w:val="auto"/>
          <w:szCs w:val="21"/>
          <w:highlight w:val="none"/>
        </w:rPr>
        <w:t>。</w:t>
      </w:r>
    </w:p>
    <w:p>
      <w:pPr>
        <w:pStyle w:val="10"/>
        <w:spacing w:line="380" w:lineRule="exact"/>
        <w:rPr>
          <w:rFonts w:eastAsia="宋体" w:cs="Times New Roman"/>
          <w:b/>
          <w:color w:val="auto"/>
          <w:sz w:val="21"/>
          <w:szCs w:val="21"/>
          <w:highlight w:val="none"/>
        </w:rPr>
      </w:pPr>
      <w:bookmarkStart w:id="6" w:name="_Toc60840786"/>
      <w:bookmarkStart w:id="7" w:name="_Toc8251061"/>
      <w:bookmarkStart w:id="8" w:name="_Toc8282793"/>
      <w:r>
        <w:rPr>
          <w:rFonts w:eastAsia="宋体" w:cs="Times New Roman"/>
          <w:b/>
          <w:color w:val="auto"/>
          <w:sz w:val="21"/>
          <w:szCs w:val="21"/>
          <w:highlight w:val="none"/>
        </w:rPr>
        <w:t>3．质量标准和要求</w:t>
      </w:r>
      <w:bookmarkEnd w:id="6"/>
      <w:bookmarkEnd w:id="7"/>
      <w:bookmarkEnd w:id="8"/>
    </w:p>
    <w:p>
      <w:pPr>
        <w:shd w:val="clear" w:color="auto" w:fill="FFFFFF"/>
        <w:spacing w:line="380" w:lineRule="exact"/>
        <w:ind w:firstLine="480"/>
        <w:rPr>
          <w:color w:val="auto"/>
          <w:szCs w:val="21"/>
          <w:highlight w:val="none"/>
        </w:rPr>
      </w:pPr>
      <w:r>
        <w:rPr>
          <w:color w:val="auto"/>
          <w:szCs w:val="21"/>
          <w:highlight w:val="none"/>
        </w:rPr>
        <w:t>3.1卖方所出售标的物的质量标准按照国家标准或行业标准或企业标准确定。没有国家标准、行业标准和企业标准的，按照通常标准或者符合合同目的的特定标准确定。</w:t>
      </w:r>
    </w:p>
    <w:p>
      <w:pPr>
        <w:shd w:val="clear" w:color="auto" w:fill="FFFFFF"/>
        <w:spacing w:line="380" w:lineRule="exact"/>
        <w:ind w:firstLine="480"/>
        <w:rPr>
          <w:color w:val="auto"/>
          <w:szCs w:val="21"/>
          <w:highlight w:val="none"/>
        </w:rPr>
      </w:pPr>
      <w:r>
        <w:rPr>
          <w:color w:val="auto"/>
          <w:szCs w:val="21"/>
          <w:highlight w:val="none"/>
        </w:rPr>
        <w:t>3.2卖方所出售的标的物还应符合国家和上海市人民政府之有关规定。</w:t>
      </w:r>
    </w:p>
    <w:p>
      <w:pPr>
        <w:shd w:val="clear" w:color="auto" w:fill="FFFFFF"/>
        <w:spacing w:line="380" w:lineRule="exact"/>
        <w:ind w:firstLine="480"/>
        <w:rPr>
          <w:color w:val="auto"/>
          <w:szCs w:val="21"/>
          <w:highlight w:val="none"/>
        </w:rPr>
      </w:pPr>
      <w:r>
        <w:rPr>
          <w:color w:val="auto"/>
          <w:szCs w:val="21"/>
          <w:highlight w:val="none"/>
        </w:rPr>
        <w:t>3.3如果质量标准不统一的，应以买方所选择的质量标准为依据。</w:t>
      </w:r>
    </w:p>
    <w:p>
      <w:pPr>
        <w:pStyle w:val="10"/>
        <w:spacing w:line="380" w:lineRule="exact"/>
        <w:rPr>
          <w:rFonts w:eastAsia="宋体" w:cs="Times New Roman"/>
          <w:b/>
          <w:color w:val="auto"/>
          <w:sz w:val="21"/>
          <w:szCs w:val="21"/>
          <w:highlight w:val="none"/>
        </w:rPr>
      </w:pPr>
      <w:bookmarkStart w:id="9" w:name="_Toc60840787"/>
      <w:bookmarkStart w:id="10" w:name="_Toc8251062"/>
      <w:bookmarkStart w:id="11" w:name="_Toc8282794"/>
      <w:r>
        <w:rPr>
          <w:rFonts w:eastAsia="宋体" w:cs="Times New Roman"/>
          <w:b/>
          <w:color w:val="auto"/>
          <w:sz w:val="21"/>
          <w:szCs w:val="21"/>
          <w:highlight w:val="none"/>
        </w:rPr>
        <w:t>4．权利瑕疵担保</w:t>
      </w:r>
      <w:bookmarkEnd w:id="9"/>
      <w:bookmarkEnd w:id="10"/>
      <w:bookmarkEnd w:id="11"/>
    </w:p>
    <w:p>
      <w:pPr>
        <w:shd w:val="clear" w:color="auto" w:fill="FFFFFF"/>
        <w:spacing w:line="380" w:lineRule="exact"/>
        <w:ind w:firstLine="480"/>
        <w:rPr>
          <w:color w:val="auto"/>
          <w:szCs w:val="21"/>
          <w:highlight w:val="none"/>
        </w:rPr>
      </w:pPr>
      <w:r>
        <w:rPr>
          <w:color w:val="auto"/>
          <w:szCs w:val="21"/>
          <w:highlight w:val="none"/>
        </w:rPr>
        <w:t>4.1卖方保证对其出售的标的物享有合法的权利；</w:t>
      </w:r>
    </w:p>
    <w:p>
      <w:pPr>
        <w:shd w:val="clear" w:color="auto" w:fill="FFFFFF"/>
        <w:spacing w:line="380" w:lineRule="exact"/>
        <w:ind w:firstLine="480"/>
        <w:rPr>
          <w:color w:val="auto"/>
          <w:szCs w:val="21"/>
          <w:highlight w:val="none"/>
        </w:rPr>
      </w:pPr>
      <w:r>
        <w:rPr>
          <w:color w:val="auto"/>
          <w:szCs w:val="21"/>
          <w:highlight w:val="none"/>
        </w:rPr>
        <w:t>4.2卖方应保证在其出售的标的物上不存在任何未曾向买方透露的担保物权，如抵押权、质押权、留置权等；</w:t>
      </w:r>
    </w:p>
    <w:p>
      <w:pPr>
        <w:shd w:val="clear" w:color="auto" w:fill="FFFFFF"/>
        <w:spacing w:line="380" w:lineRule="exact"/>
        <w:ind w:firstLine="480"/>
        <w:rPr>
          <w:color w:val="auto"/>
          <w:szCs w:val="21"/>
          <w:highlight w:val="none"/>
        </w:rPr>
      </w:pPr>
      <w:r>
        <w:rPr>
          <w:color w:val="auto"/>
          <w:szCs w:val="21"/>
          <w:highlight w:val="none"/>
        </w:rPr>
        <w:t>4.3卖方应保证其所出售的标的物没有侵犯任何第三人的知识产权和商业秘密等权利。</w:t>
      </w:r>
    </w:p>
    <w:p>
      <w:pPr>
        <w:shd w:val="clear" w:color="auto" w:fill="FFFFFF"/>
        <w:spacing w:line="380" w:lineRule="exact"/>
        <w:ind w:firstLine="480"/>
        <w:rPr>
          <w:color w:val="auto"/>
          <w:szCs w:val="21"/>
          <w:highlight w:val="none"/>
        </w:rPr>
      </w:pPr>
      <w:r>
        <w:rPr>
          <w:color w:val="auto"/>
          <w:szCs w:val="21"/>
          <w:highlight w:val="none"/>
        </w:rPr>
        <w:t>4.4如买方使用该标的物构成上述侵权的，则由卖方承担全部责任。</w:t>
      </w:r>
    </w:p>
    <w:p>
      <w:pPr>
        <w:pStyle w:val="10"/>
        <w:spacing w:line="380" w:lineRule="exact"/>
        <w:rPr>
          <w:rFonts w:eastAsia="宋体" w:cs="Times New Roman"/>
          <w:b/>
          <w:color w:val="auto"/>
          <w:sz w:val="21"/>
          <w:szCs w:val="21"/>
          <w:highlight w:val="none"/>
        </w:rPr>
      </w:pPr>
      <w:bookmarkStart w:id="12" w:name="_Toc8282795"/>
      <w:bookmarkStart w:id="13" w:name="_Toc8251063"/>
      <w:bookmarkStart w:id="14" w:name="_Toc60840788"/>
      <w:r>
        <w:rPr>
          <w:rFonts w:eastAsia="宋体" w:cs="Times New Roman"/>
          <w:b/>
          <w:color w:val="auto"/>
          <w:sz w:val="21"/>
          <w:szCs w:val="21"/>
          <w:highlight w:val="none"/>
        </w:rPr>
        <w:t>5．包装要求</w:t>
      </w:r>
      <w:bookmarkEnd w:id="12"/>
      <w:bookmarkEnd w:id="13"/>
      <w:bookmarkEnd w:id="14"/>
    </w:p>
    <w:p>
      <w:pPr>
        <w:shd w:val="clear" w:color="auto" w:fill="FFFFFF"/>
        <w:spacing w:line="380" w:lineRule="exact"/>
        <w:ind w:firstLine="480"/>
        <w:rPr>
          <w:color w:val="auto"/>
          <w:szCs w:val="21"/>
          <w:highlight w:val="none"/>
        </w:rPr>
      </w:pPr>
      <w:r>
        <w:rPr>
          <w:color w:val="auto"/>
          <w:szCs w:val="21"/>
          <w:highlight w:val="none"/>
        </w:rPr>
        <w:t>5.1卖方所出售的全部货物均应按标准保护措施进行包装，这类包装应适应于远距离运输、防潮、防震、防锈和防野蛮装卸等要求，以确保货物安全无损地运抵指定现场。</w:t>
      </w:r>
    </w:p>
    <w:p>
      <w:pPr>
        <w:shd w:val="clear" w:color="auto" w:fill="FFFFFF"/>
        <w:spacing w:line="380" w:lineRule="exact"/>
        <w:ind w:firstLine="480"/>
        <w:rPr>
          <w:color w:val="auto"/>
          <w:szCs w:val="21"/>
          <w:highlight w:val="none"/>
        </w:rPr>
      </w:pPr>
      <w:r>
        <w:rPr>
          <w:color w:val="auto"/>
          <w:szCs w:val="21"/>
          <w:highlight w:val="none"/>
        </w:rPr>
        <w:t>5.2每一个包装箱内应附一份详细装箱单、质量证书和保修保养证书。</w:t>
      </w:r>
    </w:p>
    <w:p>
      <w:pPr>
        <w:pStyle w:val="10"/>
        <w:spacing w:line="380" w:lineRule="exact"/>
        <w:rPr>
          <w:rFonts w:eastAsia="宋体" w:cs="Times New Roman"/>
          <w:b/>
          <w:color w:val="auto"/>
          <w:sz w:val="21"/>
          <w:szCs w:val="21"/>
          <w:highlight w:val="none"/>
        </w:rPr>
      </w:pPr>
      <w:bookmarkStart w:id="15" w:name="_Toc8251064"/>
      <w:bookmarkStart w:id="16" w:name="_Toc60840789"/>
      <w:bookmarkStart w:id="17" w:name="_Toc8282796"/>
      <w:r>
        <w:rPr>
          <w:rFonts w:eastAsia="宋体" w:cs="Times New Roman"/>
          <w:b/>
          <w:color w:val="auto"/>
          <w:sz w:val="21"/>
          <w:szCs w:val="21"/>
          <w:highlight w:val="none"/>
        </w:rPr>
        <w:t>6．验收</w:t>
      </w:r>
      <w:bookmarkEnd w:id="15"/>
      <w:bookmarkEnd w:id="16"/>
      <w:bookmarkEnd w:id="17"/>
    </w:p>
    <w:p>
      <w:pPr>
        <w:shd w:val="clear" w:color="auto" w:fill="FFFFFF"/>
        <w:spacing w:line="380" w:lineRule="exact"/>
        <w:ind w:firstLine="480"/>
        <w:rPr>
          <w:color w:val="auto"/>
          <w:szCs w:val="21"/>
          <w:highlight w:val="none"/>
        </w:rPr>
      </w:pPr>
      <w:r>
        <w:rPr>
          <w:color w:val="auto"/>
          <w:szCs w:val="21"/>
          <w:highlight w:val="none"/>
        </w:rPr>
        <w:t>6.1货物的数量不足或</w:t>
      </w:r>
      <w:r>
        <w:rPr>
          <w:rFonts w:hint="eastAsia"/>
          <w:color w:val="auto"/>
          <w:szCs w:val="21"/>
          <w:highlight w:val="none"/>
          <w:lang w:eastAsia="zh-CN"/>
        </w:rPr>
        <w:t>明显瑕疵</w:t>
      </w:r>
      <w:r>
        <w:rPr>
          <w:color w:val="auto"/>
          <w:szCs w:val="21"/>
          <w:highlight w:val="none"/>
        </w:rPr>
        <w:t>买方应在验收时当面提出，对质量问题之异议应在安装调试后七日内提出。</w:t>
      </w:r>
    </w:p>
    <w:p>
      <w:pPr>
        <w:shd w:val="clear" w:color="auto" w:fill="FFFFFF"/>
        <w:spacing w:line="380" w:lineRule="exact"/>
        <w:ind w:firstLine="480"/>
        <w:rPr>
          <w:color w:val="auto"/>
          <w:szCs w:val="21"/>
          <w:highlight w:val="none"/>
        </w:rPr>
      </w:pPr>
      <w:r>
        <w:rPr>
          <w:color w:val="auto"/>
          <w:szCs w:val="21"/>
          <w:highlight w:val="none"/>
        </w:rPr>
        <w:t>6.2买方可采取以下第方式对货物组织验收：</w:t>
      </w:r>
    </w:p>
    <w:p>
      <w:pPr>
        <w:shd w:val="clear" w:color="auto" w:fill="FFFFFF"/>
        <w:spacing w:line="380" w:lineRule="exact"/>
        <w:ind w:left="851" w:hanging="567"/>
        <w:rPr>
          <w:color w:val="auto"/>
          <w:szCs w:val="21"/>
          <w:highlight w:val="none"/>
        </w:rPr>
      </w:pPr>
      <w:r>
        <w:rPr>
          <w:color w:val="auto"/>
          <w:szCs w:val="21"/>
          <w:highlight w:val="none"/>
        </w:rPr>
        <w:t>（1）买方收货后根据货物的技术规格要求和质量标准，对货物进行检查验收，如果发现数量不足或有质量、技术等问题，卖方应负责按照买方的要求采取补足、更换或退货等处理措施，并承担由此发生的一切损失和费用。验收合格后，买方收取发票并签署验收意见。买方在货物送达后无正当理由而拖延验收或不验收超过上述6.1款所规定的验收期的，则视为其已验收通过。但对货物有质量保证期的，适用质量保证期之规定。</w:t>
      </w:r>
    </w:p>
    <w:p>
      <w:pPr>
        <w:pStyle w:val="10"/>
        <w:spacing w:line="380" w:lineRule="exact"/>
        <w:rPr>
          <w:rFonts w:eastAsia="宋体" w:cs="Times New Roman"/>
          <w:b/>
          <w:color w:val="auto"/>
          <w:sz w:val="21"/>
          <w:szCs w:val="21"/>
          <w:highlight w:val="none"/>
        </w:rPr>
      </w:pPr>
      <w:bookmarkStart w:id="18" w:name="_Toc8251065"/>
      <w:bookmarkStart w:id="19" w:name="_Toc60840790"/>
      <w:bookmarkStart w:id="20" w:name="_Toc8282797"/>
      <w:r>
        <w:rPr>
          <w:rFonts w:eastAsia="宋体" w:cs="Times New Roman"/>
          <w:b/>
          <w:color w:val="auto"/>
          <w:sz w:val="21"/>
          <w:szCs w:val="21"/>
          <w:highlight w:val="none"/>
        </w:rPr>
        <w:t>7．付款</w:t>
      </w:r>
      <w:bookmarkEnd w:id="18"/>
      <w:bookmarkEnd w:id="19"/>
      <w:bookmarkEnd w:id="20"/>
    </w:p>
    <w:p>
      <w:pPr>
        <w:shd w:val="clear" w:color="auto" w:fill="FFFFFF"/>
        <w:spacing w:line="380" w:lineRule="exact"/>
        <w:ind w:firstLine="480"/>
        <w:rPr>
          <w:color w:val="auto"/>
          <w:szCs w:val="21"/>
          <w:highlight w:val="none"/>
        </w:rPr>
      </w:pPr>
      <w:r>
        <w:rPr>
          <w:color w:val="auto"/>
          <w:szCs w:val="21"/>
          <w:highlight w:val="none"/>
        </w:rPr>
        <w:t>7.1本合同以人民币付款。</w:t>
      </w:r>
    </w:p>
    <w:p>
      <w:pPr>
        <w:shd w:val="clear" w:color="auto" w:fill="FFFFFF"/>
        <w:spacing w:line="380" w:lineRule="exact"/>
        <w:ind w:firstLine="480"/>
        <w:rPr>
          <w:color w:val="auto"/>
          <w:szCs w:val="21"/>
          <w:highlight w:val="none"/>
        </w:rPr>
      </w:pPr>
      <w:r>
        <w:rPr>
          <w:color w:val="auto"/>
          <w:szCs w:val="21"/>
          <w:highlight w:val="none"/>
        </w:rPr>
        <w:t>7.2本合同款项按照以下方式支付。</w:t>
      </w:r>
    </w:p>
    <w:p>
      <w:pPr>
        <w:shd w:val="clear" w:color="auto" w:fill="FFFFFF"/>
        <w:spacing w:line="380" w:lineRule="exact"/>
        <w:ind w:firstLine="480"/>
        <w:rPr>
          <w:color w:val="auto"/>
          <w:szCs w:val="21"/>
          <w:highlight w:val="none"/>
          <w:u w:val="single"/>
        </w:rPr>
      </w:pPr>
      <w:r>
        <w:rPr>
          <w:color w:val="auto"/>
          <w:szCs w:val="21"/>
          <w:highlight w:val="none"/>
        </w:rPr>
        <w:t>7.2.1付款内容：</w:t>
      </w:r>
      <w:r>
        <w:rPr>
          <w:rFonts w:hint="eastAsia"/>
          <w:color w:val="auto"/>
          <w:szCs w:val="21"/>
          <w:highlight w:val="none"/>
          <w:u w:val="single"/>
        </w:rPr>
        <w:t xml:space="preserve">   </w:t>
      </w:r>
      <w:r>
        <w:rPr>
          <w:rFonts w:hint="eastAsia"/>
          <w:color w:val="auto"/>
          <w:szCs w:val="21"/>
          <w:highlight w:val="none"/>
          <w:u w:val="single"/>
        </w:rPr>
        <w:t xml:space="preserve"> 验收后一次性支付 </w:t>
      </w:r>
      <w:r>
        <w:rPr>
          <w:rFonts w:hint="eastAsia"/>
          <w:color w:val="auto"/>
          <w:szCs w:val="21"/>
          <w:highlight w:val="none"/>
          <w:u w:val="single"/>
        </w:rPr>
        <w:t xml:space="preserve"> </w:t>
      </w:r>
    </w:p>
    <w:p>
      <w:pPr>
        <w:shd w:val="clear" w:color="auto" w:fill="FFFFFF"/>
        <w:spacing w:line="380" w:lineRule="exact"/>
        <w:ind w:firstLine="480"/>
        <w:rPr>
          <w:color w:val="auto"/>
          <w:szCs w:val="21"/>
          <w:highlight w:val="none"/>
        </w:rPr>
      </w:pPr>
      <w:r>
        <w:rPr>
          <w:color w:val="auto"/>
          <w:szCs w:val="21"/>
          <w:highlight w:val="none"/>
        </w:rPr>
        <w:t>7.2.2付款条件：</w:t>
      </w:r>
      <w:r>
        <w:rPr>
          <w:rFonts w:hint="eastAsia"/>
          <w:color w:val="auto"/>
          <w:szCs w:val="21"/>
          <w:highlight w:val="none"/>
        </w:rPr>
        <w:t xml:space="preserve"> </w:t>
      </w:r>
      <w:r>
        <w:rPr>
          <w:rFonts w:hint="eastAsia"/>
          <w:color w:val="auto"/>
          <w:szCs w:val="21"/>
          <w:highlight w:val="none"/>
          <w:u w:val="single"/>
        </w:rPr>
        <w:t xml:space="preserve">   </w:t>
      </w:r>
      <w:r>
        <w:rPr>
          <w:rFonts w:hint="eastAsia"/>
          <w:color w:val="auto"/>
          <w:szCs w:val="21"/>
          <w:highlight w:val="none"/>
          <w:u w:val="single"/>
          <w:shd w:val="clear" w:fill="FFFF00"/>
          <w:lang w:val="en-US" w:eastAsia="zh-CN"/>
        </w:rPr>
        <w:t>乙方提供设备并安装调试完成，甲方验收完成后，甲方支付合同价的100%费用，乙方提供等额发票。</w:t>
      </w:r>
      <w:r>
        <w:rPr>
          <w:rFonts w:hint="eastAsia"/>
          <w:color w:val="auto"/>
          <w:szCs w:val="21"/>
          <w:highlight w:val="none"/>
          <w:u w:val="single"/>
        </w:rPr>
        <w:t xml:space="preserve"> </w:t>
      </w:r>
      <w:r>
        <w:rPr>
          <w:rFonts w:hint="eastAsia"/>
          <w:color w:val="auto"/>
          <w:szCs w:val="21"/>
          <w:highlight w:val="none"/>
        </w:rPr>
        <w:t xml:space="preserve"> </w:t>
      </w:r>
    </w:p>
    <w:p>
      <w:pPr>
        <w:shd w:val="clear" w:color="auto" w:fill="FFFFFF"/>
        <w:spacing w:line="380" w:lineRule="exact"/>
        <w:ind w:firstLine="480"/>
        <w:rPr>
          <w:color w:val="auto"/>
          <w:szCs w:val="21"/>
          <w:highlight w:val="none"/>
        </w:rPr>
      </w:pPr>
      <w:r>
        <w:rPr>
          <w:color w:val="auto"/>
          <w:szCs w:val="21"/>
          <w:highlight w:val="none"/>
        </w:rPr>
        <w:t>本合同付款按照上述付款内容付款。</w:t>
      </w:r>
    </w:p>
    <w:p>
      <w:pPr>
        <w:shd w:val="clear" w:color="auto" w:fill="FFFFFF"/>
        <w:spacing w:line="380" w:lineRule="exact"/>
        <w:ind w:firstLine="480"/>
        <w:rPr>
          <w:color w:val="auto"/>
          <w:szCs w:val="21"/>
          <w:highlight w:val="none"/>
        </w:rPr>
      </w:pPr>
      <w:r>
        <w:rPr>
          <w:color w:val="auto"/>
          <w:szCs w:val="21"/>
          <w:highlight w:val="none"/>
        </w:rPr>
        <w:t>（2）最终验收付款：验收单或验收报告出具并且买方</w:t>
      </w:r>
      <w:r>
        <w:rPr>
          <w:rFonts w:hint="eastAsia"/>
          <w:color w:val="auto"/>
          <w:szCs w:val="21"/>
          <w:highlight w:val="none"/>
          <w:lang w:val="en-US" w:eastAsia="zh-CN"/>
        </w:rPr>
        <w:t>收到发票</w:t>
      </w:r>
      <w:r>
        <w:rPr>
          <w:color w:val="auto"/>
          <w:szCs w:val="21"/>
          <w:highlight w:val="none"/>
        </w:rPr>
        <w:t>后，买方在十个工作日内支付全部货款。</w:t>
      </w:r>
    </w:p>
    <w:p>
      <w:pPr>
        <w:pStyle w:val="10"/>
        <w:spacing w:line="380" w:lineRule="exact"/>
        <w:rPr>
          <w:rFonts w:eastAsia="宋体" w:cs="Times New Roman"/>
          <w:b/>
          <w:color w:val="auto"/>
          <w:sz w:val="21"/>
          <w:szCs w:val="21"/>
          <w:highlight w:val="none"/>
        </w:rPr>
      </w:pPr>
      <w:bookmarkStart w:id="21" w:name="_Toc8282798"/>
      <w:bookmarkStart w:id="22" w:name="_Toc60840791"/>
      <w:bookmarkStart w:id="23" w:name="_Toc8251066"/>
      <w:r>
        <w:rPr>
          <w:rFonts w:eastAsia="宋体" w:cs="Times New Roman"/>
          <w:b/>
          <w:color w:val="auto"/>
          <w:sz w:val="21"/>
          <w:szCs w:val="21"/>
          <w:highlight w:val="none"/>
        </w:rPr>
        <w:t>8．伴随服务</w:t>
      </w:r>
      <w:bookmarkEnd w:id="21"/>
      <w:bookmarkEnd w:id="22"/>
      <w:bookmarkEnd w:id="23"/>
    </w:p>
    <w:p>
      <w:pPr>
        <w:shd w:val="clear" w:color="auto" w:fill="FFFFFF"/>
        <w:spacing w:line="380" w:lineRule="exact"/>
        <w:ind w:firstLine="480"/>
        <w:rPr>
          <w:color w:val="auto"/>
          <w:szCs w:val="21"/>
          <w:highlight w:val="none"/>
        </w:rPr>
      </w:pPr>
      <w:r>
        <w:rPr>
          <w:color w:val="auto"/>
          <w:szCs w:val="21"/>
          <w:highlight w:val="none"/>
        </w:rPr>
        <w:t>8.1卖方应提交所提供货物的技术文件，应包括相应的每一套设备的中文技术文件，例如：</w:t>
      </w:r>
      <w:r>
        <w:rPr>
          <w:rFonts w:hint="eastAsia"/>
          <w:color w:val="auto"/>
          <w:szCs w:val="21"/>
          <w:highlight w:val="none"/>
          <w:lang w:val="en-US" w:eastAsia="zh-CN"/>
        </w:rPr>
        <w:t>合格证、产品说明</w:t>
      </w:r>
      <w:r>
        <w:rPr>
          <w:color w:val="auto"/>
          <w:szCs w:val="21"/>
          <w:highlight w:val="none"/>
        </w:rPr>
        <w:t>。这些文件应包装好随同货物一起发运。</w:t>
      </w:r>
    </w:p>
    <w:p>
      <w:pPr>
        <w:shd w:val="clear" w:color="auto" w:fill="FFFFFF"/>
        <w:spacing w:line="380" w:lineRule="exact"/>
        <w:ind w:firstLine="480"/>
        <w:rPr>
          <w:color w:val="auto"/>
          <w:szCs w:val="21"/>
          <w:highlight w:val="none"/>
        </w:rPr>
      </w:pPr>
      <w:r>
        <w:rPr>
          <w:color w:val="auto"/>
          <w:szCs w:val="21"/>
          <w:highlight w:val="none"/>
        </w:rPr>
        <w:t>8.2卖方还应提供下列服务：</w:t>
      </w:r>
    </w:p>
    <w:p>
      <w:pPr>
        <w:shd w:val="clear" w:color="auto" w:fill="FFFFFF"/>
        <w:spacing w:line="380" w:lineRule="exact"/>
        <w:ind w:left="1134" w:hanging="708"/>
        <w:rPr>
          <w:color w:val="auto"/>
          <w:szCs w:val="21"/>
          <w:highlight w:val="none"/>
        </w:rPr>
      </w:pPr>
      <w:r>
        <w:rPr>
          <w:color w:val="auto"/>
          <w:szCs w:val="21"/>
          <w:highlight w:val="none"/>
        </w:rPr>
        <w:t>（1）货物的现场安装、调试和启动监督；</w:t>
      </w:r>
    </w:p>
    <w:p>
      <w:pPr>
        <w:shd w:val="clear" w:color="auto" w:fill="FFFFFF"/>
        <w:spacing w:line="380" w:lineRule="exact"/>
        <w:ind w:left="1134" w:hanging="708"/>
        <w:rPr>
          <w:color w:val="auto"/>
          <w:szCs w:val="21"/>
          <w:highlight w:val="none"/>
        </w:rPr>
      </w:pPr>
      <w:r>
        <w:rPr>
          <w:color w:val="auto"/>
          <w:szCs w:val="21"/>
          <w:highlight w:val="none"/>
        </w:rPr>
        <w:t>（2）提供货物组装和维修所需的专用工具和辅助材料；</w:t>
      </w:r>
    </w:p>
    <w:p>
      <w:pPr>
        <w:shd w:val="clear" w:color="auto" w:fill="FFFFFF"/>
        <w:spacing w:line="380" w:lineRule="exact"/>
        <w:ind w:left="1134" w:hanging="708"/>
        <w:rPr>
          <w:color w:val="auto"/>
          <w:szCs w:val="21"/>
          <w:highlight w:val="none"/>
        </w:rPr>
      </w:pPr>
      <w:r>
        <w:rPr>
          <w:color w:val="auto"/>
          <w:szCs w:val="21"/>
          <w:highlight w:val="none"/>
        </w:rPr>
        <w:t>（3）在合同各方商定的一定期限内对所有的货物实施运行监督、维修，但前提条件是该服务并不能免除卖方在质量保证期内所承担的义务；</w:t>
      </w:r>
    </w:p>
    <w:p>
      <w:pPr>
        <w:shd w:val="clear" w:color="auto" w:fill="FFFFFF"/>
        <w:spacing w:line="380" w:lineRule="exact"/>
        <w:ind w:left="1134" w:hanging="708"/>
        <w:rPr>
          <w:color w:val="auto"/>
          <w:szCs w:val="21"/>
          <w:highlight w:val="none"/>
        </w:rPr>
      </w:pPr>
      <w:r>
        <w:rPr>
          <w:color w:val="auto"/>
          <w:szCs w:val="21"/>
          <w:highlight w:val="none"/>
        </w:rPr>
        <w:t>（4）在厂家和/或在项目现场就货物的安装、启动、运营、维护对使用单位操作人员进行培训。</w:t>
      </w:r>
    </w:p>
    <w:p>
      <w:pPr>
        <w:shd w:val="clear" w:color="auto" w:fill="FFFFFF"/>
        <w:spacing w:line="380" w:lineRule="exact"/>
        <w:ind w:firstLine="480"/>
        <w:rPr>
          <w:color w:val="auto"/>
          <w:szCs w:val="21"/>
          <w:highlight w:val="none"/>
        </w:rPr>
      </w:pPr>
      <w:r>
        <w:rPr>
          <w:color w:val="auto"/>
          <w:szCs w:val="21"/>
          <w:highlight w:val="none"/>
        </w:rPr>
        <w:t>8.3伴随服务的费用应包含在合同价中，买方不再另行支付。</w:t>
      </w:r>
    </w:p>
    <w:p>
      <w:pPr>
        <w:pStyle w:val="10"/>
        <w:spacing w:line="380" w:lineRule="exact"/>
        <w:rPr>
          <w:rFonts w:eastAsia="宋体" w:cs="Times New Roman"/>
          <w:b/>
          <w:color w:val="auto"/>
          <w:sz w:val="21"/>
          <w:szCs w:val="21"/>
          <w:highlight w:val="none"/>
        </w:rPr>
      </w:pPr>
      <w:bookmarkStart w:id="24" w:name="_Toc8282799"/>
      <w:bookmarkStart w:id="25" w:name="_Toc8251067"/>
      <w:bookmarkStart w:id="26" w:name="_Toc60840792"/>
      <w:r>
        <w:rPr>
          <w:rFonts w:eastAsia="宋体" w:cs="Times New Roman"/>
          <w:b/>
          <w:color w:val="auto"/>
          <w:sz w:val="21"/>
          <w:szCs w:val="21"/>
          <w:highlight w:val="none"/>
        </w:rPr>
        <w:t>9．质量保证</w:t>
      </w:r>
      <w:bookmarkEnd w:id="24"/>
      <w:bookmarkEnd w:id="25"/>
      <w:bookmarkEnd w:id="26"/>
    </w:p>
    <w:p>
      <w:pPr>
        <w:shd w:val="clear" w:color="auto" w:fill="FFFFFF"/>
        <w:spacing w:line="380" w:lineRule="exact"/>
        <w:ind w:firstLine="480"/>
        <w:rPr>
          <w:color w:val="auto"/>
          <w:szCs w:val="21"/>
          <w:highlight w:val="none"/>
        </w:rPr>
      </w:pPr>
      <w:r>
        <w:rPr>
          <w:color w:val="auto"/>
          <w:szCs w:val="21"/>
          <w:highlight w:val="none"/>
        </w:rPr>
        <w:t>9.1卖方应保证所供货物是全新的、未使用过的，并完全符合合同规定的质量、规格和性能的要求。卖方应保证其货物在正确安装、正常使用和保养条件下，在其使用寿命期内应具有满意的性能。在货物最终交付验收后不少于</w:t>
      </w:r>
      <w:r>
        <w:rPr>
          <w:rFonts w:hint="eastAsia"/>
          <w:color w:val="auto"/>
          <w:szCs w:val="21"/>
          <w:highlight w:val="none"/>
          <w:u w:val="single"/>
        </w:rPr>
        <w:t xml:space="preserve">  </w:t>
      </w:r>
      <w:r>
        <w:rPr>
          <w:rFonts w:hint="eastAsia"/>
          <w:color w:val="auto"/>
          <w:szCs w:val="21"/>
          <w:highlight w:val="none"/>
          <w:u w:val="single"/>
          <w:lang w:val="en-US" w:eastAsia="zh-CN"/>
        </w:rPr>
        <w:t>36</w:t>
      </w:r>
      <w:r>
        <w:rPr>
          <w:rFonts w:hint="eastAsia"/>
          <w:color w:val="auto"/>
          <w:szCs w:val="21"/>
          <w:highlight w:val="none"/>
          <w:u w:val="single"/>
        </w:rPr>
        <w:t xml:space="preserve"> </w:t>
      </w:r>
      <w:r>
        <w:rPr>
          <w:color w:val="auto"/>
          <w:szCs w:val="21"/>
          <w:highlight w:val="none"/>
        </w:rPr>
        <w:t>个月的质量保证期内。</w:t>
      </w:r>
    </w:p>
    <w:p>
      <w:pPr>
        <w:shd w:val="clear" w:color="auto" w:fill="FFFFFF"/>
        <w:spacing w:line="380" w:lineRule="exact"/>
        <w:ind w:firstLine="480"/>
        <w:rPr>
          <w:color w:val="auto"/>
          <w:szCs w:val="21"/>
          <w:highlight w:val="none"/>
        </w:rPr>
      </w:pPr>
      <w:r>
        <w:rPr>
          <w:color w:val="auto"/>
          <w:szCs w:val="21"/>
          <w:highlight w:val="none"/>
        </w:rPr>
        <w:t>9.2在质量保证期内，如果货物的质量或规格与合同不符，或证实货物是有缺陷的，包括潜在的缺陷或使用不符合要求的材料等，买方根据本合同第10条规定以书面形式向卖方提出补救措施或索赔。</w:t>
      </w:r>
    </w:p>
    <w:p>
      <w:pPr>
        <w:shd w:val="clear" w:color="auto" w:fill="FFFFFF"/>
        <w:spacing w:line="380" w:lineRule="exact"/>
        <w:ind w:firstLine="480"/>
        <w:rPr>
          <w:color w:val="auto"/>
          <w:szCs w:val="21"/>
          <w:highlight w:val="none"/>
        </w:rPr>
      </w:pPr>
      <w:r>
        <w:rPr>
          <w:color w:val="auto"/>
          <w:szCs w:val="21"/>
          <w:highlight w:val="none"/>
        </w:rPr>
        <w:t>9.3卖方在约定的时间内未能弥补缺陷，买方可采取必要的补救措施，但其风险和费用将由卖方承担，买方根据合同规定对卖方行使的其他权利不受影响。</w:t>
      </w:r>
    </w:p>
    <w:p>
      <w:pPr>
        <w:pStyle w:val="10"/>
        <w:spacing w:line="380" w:lineRule="exact"/>
        <w:rPr>
          <w:rFonts w:eastAsia="宋体" w:cs="Times New Roman"/>
          <w:b/>
          <w:color w:val="auto"/>
          <w:sz w:val="21"/>
          <w:szCs w:val="21"/>
          <w:highlight w:val="none"/>
        </w:rPr>
      </w:pPr>
      <w:bookmarkStart w:id="27" w:name="_Toc60840793"/>
      <w:bookmarkStart w:id="28" w:name="_Toc8282800"/>
      <w:bookmarkStart w:id="29" w:name="_Toc8251068"/>
      <w:r>
        <w:rPr>
          <w:rFonts w:eastAsia="宋体" w:cs="Times New Roman"/>
          <w:b/>
          <w:color w:val="auto"/>
          <w:sz w:val="21"/>
          <w:szCs w:val="21"/>
          <w:highlight w:val="none"/>
        </w:rPr>
        <w:t>10．补救措施和索赔</w:t>
      </w:r>
      <w:bookmarkEnd w:id="27"/>
      <w:bookmarkEnd w:id="28"/>
      <w:bookmarkEnd w:id="29"/>
    </w:p>
    <w:p>
      <w:pPr>
        <w:shd w:val="clear" w:color="auto" w:fill="FFFFFF"/>
        <w:spacing w:line="380" w:lineRule="exact"/>
        <w:ind w:firstLine="480"/>
        <w:rPr>
          <w:color w:val="auto"/>
          <w:szCs w:val="21"/>
          <w:highlight w:val="none"/>
        </w:rPr>
      </w:pPr>
      <w:r>
        <w:rPr>
          <w:color w:val="auto"/>
          <w:szCs w:val="21"/>
          <w:highlight w:val="none"/>
        </w:rPr>
        <w:t>10.1买方有权根据质量检测部门出具的检验证书向卖方提出索赔。</w:t>
      </w:r>
    </w:p>
    <w:p>
      <w:pPr>
        <w:shd w:val="clear" w:color="auto" w:fill="FFFFFF"/>
        <w:spacing w:line="380" w:lineRule="exact"/>
        <w:ind w:firstLine="480"/>
        <w:rPr>
          <w:color w:val="auto"/>
          <w:szCs w:val="21"/>
          <w:highlight w:val="none"/>
        </w:rPr>
      </w:pPr>
      <w:r>
        <w:rPr>
          <w:color w:val="auto"/>
          <w:szCs w:val="21"/>
          <w:highlight w:val="none"/>
        </w:rPr>
        <w:t>10.2在检验期和质量保证期内，如果卖方对缺陷产品负有责任而买方提出索赔，卖方应按照买方同意的下列一种或多种方式解决索赔事宜：</w:t>
      </w:r>
    </w:p>
    <w:p>
      <w:pPr>
        <w:shd w:val="clear" w:color="auto" w:fill="FFFFFF"/>
        <w:spacing w:line="380" w:lineRule="exact"/>
        <w:ind w:firstLine="480"/>
        <w:rPr>
          <w:color w:val="auto"/>
          <w:szCs w:val="21"/>
          <w:highlight w:val="none"/>
        </w:rPr>
      </w:pPr>
      <w:r>
        <w:rPr>
          <w:color w:val="auto"/>
          <w:szCs w:val="21"/>
          <w:highlight w:val="none"/>
        </w:rPr>
        <w:t>卖方同意退货并将货款退还给买方，由此发生的一切费用和损失由卖方承担。</w:t>
      </w:r>
    </w:p>
    <w:p>
      <w:pPr>
        <w:shd w:val="clear" w:color="auto" w:fill="FFFFFF"/>
        <w:spacing w:line="380" w:lineRule="exact"/>
        <w:ind w:firstLine="480"/>
        <w:rPr>
          <w:color w:val="auto"/>
          <w:szCs w:val="21"/>
          <w:highlight w:val="none"/>
        </w:rPr>
      </w:pPr>
      <w:r>
        <w:rPr>
          <w:color w:val="auto"/>
          <w:szCs w:val="21"/>
          <w:highlight w:val="none"/>
        </w:rPr>
        <w:t>根据货物的质量状况以及买方所遭受的损失，经过买卖双方商定降低货物的价格。</w:t>
      </w:r>
    </w:p>
    <w:p>
      <w:pPr>
        <w:shd w:val="clear" w:color="auto" w:fill="FFFFFF"/>
        <w:spacing w:line="380" w:lineRule="exact"/>
        <w:ind w:firstLine="480"/>
        <w:rPr>
          <w:color w:val="auto"/>
          <w:szCs w:val="21"/>
          <w:highlight w:val="none"/>
        </w:rPr>
      </w:pPr>
      <w:r>
        <w:rPr>
          <w:color w:val="auto"/>
          <w:szCs w:val="21"/>
          <w:highlight w:val="none"/>
        </w:rPr>
        <w:t>卖方应在接到买方通知后七天内负责采用符合合同规定的规格、质量和性能要求的新零件、部件和设备来更换有缺陷的部分或修补缺陷部分，其费用由乙方负担。同时，卖方应在约定的质量保证期基础上相应延长修补和/或更换件的质量保证期。</w:t>
      </w:r>
    </w:p>
    <w:p>
      <w:pPr>
        <w:shd w:val="clear" w:color="auto" w:fill="FFFFFF"/>
        <w:spacing w:line="380" w:lineRule="exact"/>
        <w:ind w:firstLine="480"/>
        <w:rPr>
          <w:color w:val="auto"/>
          <w:szCs w:val="21"/>
          <w:highlight w:val="none"/>
        </w:rPr>
      </w:pPr>
      <w:r>
        <w:rPr>
          <w:color w:val="auto"/>
          <w:szCs w:val="21"/>
          <w:highlight w:val="none"/>
        </w:rPr>
        <w:t>10.3如果在买方发出索赔通知后十天内卖方未作答复，上述索赔应视为已被卖方接受。如果卖方未能在买方索赔通知后十天内或买方同意延长的期限内，按照上述规定的任何一种方法采取补救措施，买方有权从应付货款中扣除索赔金额或没收质量保证金，如不足以弥补买方损失的，买方有权向卖方提出赔偿损失的要求。</w:t>
      </w:r>
    </w:p>
    <w:p>
      <w:pPr>
        <w:pStyle w:val="10"/>
        <w:spacing w:line="380" w:lineRule="exact"/>
        <w:rPr>
          <w:rFonts w:eastAsia="宋体" w:cs="Times New Roman"/>
          <w:b/>
          <w:color w:val="auto"/>
          <w:sz w:val="21"/>
          <w:szCs w:val="21"/>
          <w:highlight w:val="none"/>
        </w:rPr>
      </w:pPr>
      <w:bookmarkStart w:id="30" w:name="_Toc8282801"/>
      <w:bookmarkStart w:id="31" w:name="_Toc8251069"/>
      <w:bookmarkStart w:id="32" w:name="_Toc60840794"/>
      <w:r>
        <w:rPr>
          <w:rFonts w:eastAsia="宋体" w:cs="Times New Roman"/>
          <w:b/>
          <w:color w:val="auto"/>
          <w:sz w:val="21"/>
          <w:szCs w:val="21"/>
          <w:highlight w:val="none"/>
        </w:rPr>
        <w:t>11．履约延误</w:t>
      </w:r>
      <w:bookmarkEnd w:id="30"/>
      <w:bookmarkEnd w:id="31"/>
      <w:bookmarkEnd w:id="32"/>
    </w:p>
    <w:p>
      <w:pPr>
        <w:shd w:val="clear" w:color="auto" w:fill="FFFFFF"/>
        <w:spacing w:line="380" w:lineRule="exact"/>
        <w:ind w:firstLine="480"/>
        <w:rPr>
          <w:color w:val="auto"/>
          <w:szCs w:val="21"/>
          <w:highlight w:val="none"/>
        </w:rPr>
      </w:pPr>
      <w:r>
        <w:rPr>
          <w:color w:val="auto"/>
          <w:szCs w:val="21"/>
          <w:highlight w:val="none"/>
        </w:rPr>
        <w:t>11.1卖方应按照合同规定的时间、地点交货和提供服务。</w:t>
      </w:r>
    </w:p>
    <w:p>
      <w:pPr>
        <w:shd w:val="clear" w:color="auto" w:fill="FFFFFF"/>
        <w:spacing w:line="380" w:lineRule="exact"/>
        <w:ind w:firstLine="480"/>
        <w:rPr>
          <w:color w:val="auto"/>
          <w:szCs w:val="21"/>
          <w:highlight w:val="none"/>
        </w:rPr>
      </w:pPr>
      <w:r>
        <w:rPr>
          <w:color w:val="auto"/>
          <w:szCs w:val="21"/>
          <w:highlight w:val="none"/>
        </w:rPr>
        <w:t>11.2如卖方无正当理由而拖延交货，买方有权没收卖方提供的履约保证金，或解除合同并追究卖方的违约责任。</w:t>
      </w:r>
    </w:p>
    <w:p>
      <w:pPr>
        <w:shd w:val="clear" w:color="auto" w:fill="FFFFFF"/>
        <w:spacing w:line="380" w:lineRule="exact"/>
        <w:ind w:firstLine="480"/>
        <w:rPr>
          <w:color w:val="auto"/>
          <w:szCs w:val="21"/>
          <w:highlight w:val="none"/>
        </w:rPr>
      </w:pPr>
      <w:r>
        <w:rPr>
          <w:color w:val="auto"/>
          <w:szCs w:val="21"/>
          <w:highlight w:val="none"/>
        </w:rPr>
        <w:t>11.3在履行合同过程中，如果卖方可能遇到妨碍按时交货和提供服务的情况时，应及时以书面形式将拖延的事实，可能拖延的期限和理由通知买方。买方在收到卖方通知后，应尽快对情况进行评价，并确定是否同意延长交货时间或延期提供服务。</w:t>
      </w:r>
    </w:p>
    <w:p>
      <w:pPr>
        <w:pStyle w:val="10"/>
        <w:spacing w:line="380" w:lineRule="exact"/>
        <w:rPr>
          <w:rFonts w:eastAsia="宋体" w:cs="Times New Roman"/>
          <w:b/>
          <w:color w:val="auto"/>
          <w:sz w:val="21"/>
          <w:szCs w:val="21"/>
          <w:highlight w:val="none"/>
        </w:rPr>
      </w:pPr>
      <w:bookmarkStart w:id="33" w:name="_Toc8282802"/>
      <w:bookmarkStart w:id="34" w:name="_Toc8251070"/>
      <w:bookmarkStart w:id="35" w:name="_Toc60840795"/>
      <w:r>
        <w:rPr>
          <w:rFonts w:eastAsia="宋体" w:cs="Times New Roman"/>
          <w:b/>
          <w:color w:val="auto"/>
          <w:sz w:val="21"/>
          <w:szCs w:val="21"/>
          <w:highlight w:val="none"/>
        </w:rPr>
        <w:t>12．误期赔偿</w:t>
      </w:r>
      <w:bookmarkEnd w:id="33"/>
      <w:bookmarkEnd w:id="34"/>
      <w:bookmarkEnd w:id="35"/>
    </w:p>
    <w:p>
      <w:pPr>
        <w:shd w:val="clear" w:color="auto" w:fill="FFFFFF"/>
        <w:spacing w:line="380" w:lineRule="exact"/>
        <w:ind w:firstLine="480"/>
        <w:rPr>
          <w:color w:val="auto"/>
          <w:szCs w:val="21"/>
          <w:highlight w:val="none"/>
        </w:rPr>
      </w:pPr>
      <w:r>
        <w:rPr>
          <w:color w:val="auto"/>
          <w:szCs w:val="21"/>
          <w:highlight w:val="none"/>
        </w:rPr>
        <w:t>12.1除合同第13条规定外，如果卖方没有按照合同规定的时间交货和提供服务，买方应从货款中扣除误期赔偿费而不影响合同项下的其他补救方法，赔偿费按每周赔偿迟交货物的交货价或延期服务的服务费用的百分之一（1%）计收，直至交货或提供服务为止。但误期赔偿费的最高限额不超过合同价的百分之五（5%）。一周按七天计算，不足七天按一周计算。一旦达到误期赔偿的最高限额，买方可考虑终止合同。</w:t>
      </w:r>
    </w:p>
    <w:p>
      <w:pPr>
        <w:pStyle w:val="10"/>
        <w:spacing w:line="380" w:lineRule="exact"/>
        <w:rPr>
          <w:rFonts w:eastAsia="宋体" w:cs="Times New Roman"/>
          <w:b/>
          <w:color w:val="auto"/>
          <w:sz w:val="21"/>
          <w:szCs w:val="21"/>
          <w:highlight w:val="none"/>
        </w:rPr>
      </w:pPr>
      <w:bookmarkStart w:id="36" w:name="_Toc60840796"/>
      <w:bookmarkStart w:id="37" w:name="_Toc8282803"/>
      <w:bookmarkStart w:id="38" w:name="_Toc8251071"/>
      <w:r>
        <w:rPr>
          <w:rFonts w:eastAsia="宋体" w:cs="Times New Roman"/>
          <w:b/>
          <w:color w:val="auto"/>
          <w:sz w:val="21"/>
          <w:szCs w:val="21"/>
          <w:highlight w:val="none"/>
        </w:rPr>
        <w:t>13．不可抗力</w:t>
      </w:r>
      <w:bookmarkEnd w:id="36"/>
      <w:bookmarkEnd w:id="37"/>
      <w:bookmarkEnd w:id="38"/>
    </w:p>
    <w:p>
      <w:pPr>
        <w:shd w:val="clear" w:color="auto" w:fill="FFFFFF"/>
        <w:spacing w:line="380" w:lineRule="exact"/>
        <w:ind w:firstLine="480"/>
        <w:rPr>
          <w:color w:val="auto"/>
          <w:szCs w:val="21"/>
          <w:highlight w:val="none"/>
        </w:rPr>
      </w:pPr>
      <w:r>
        <w:rPr>
          <w:color w:val="auto"/>
          <w:szCs w:val="21"/>
          <w:highlight w:val="none"/>
        </w:rPr>
        <w:t>13.1如果合同各方因不可抗力而导致合同实施延误或不能履行合同义务的话，不应该承担误期赔偿或不能履行合同义务的责任。</w:t>
      </w:r>
    </w:p>
    <w:p>
      <w:pPr>
        <w:shd w:val="clear" w:color="auto" w:fill="FFFFFF"/>
        <w:spacing w:line="380" w:lineRule="exact"/>
        <w:ind w:firstLine="480"/>
        <w:rPr>
          <w:color w:val="auto"/>
          <w:szCs w:val="21"/>
          <w:highlight w:val="none"/>
        </w:rPr>
      </w:pPr>
      <w:r>
        <w:rPr>
          <w:color w:val="auto"/>
          <w:szCs w:val="21"/>
          <w:highlight w:val="none"/>
        </w:rPr>
        <w:t>13.2本条所述的“不可抗力”系指那些双方不可预见、不可避免、不可克服的事件，但不包括双方的违约或疏忽。这些事件包括但不限于：战争、严重火灾、洪水、台风、地震、国家政策的重大变化，以及其它双方商定的其他事件。</w:t>
      </w:r>
    </w:p>
    <w:p>
      <w:pPr>
        <w:shd w:val="clear" w:color="auto" w:fill="FFFFFF"/>
        <w:spacing w:line="380" w:lineRule="exact"/>
        <w:ind w:firstLine="480"/>
        <w:rPr>
          <w:color w:val="auto"/>
          <w:szCs w:val="21"/>
          <w:highlight w:val="none"/>
        </w:rPr>
      </w:pPr>
      <w:r>
        <w:rPr>
          <w:color w:val="auto"/>
          <w:szCs w:val="21"/>
          <w:highlight w:val="none"/>
        </w:rPr>
        <w:t>13.3在不可抗力事件发生后，当事方应尽快以书面形式将不可抗力的情况和原因通知对方。合同各方应尽实际可能继续履行合同义务，并积极寻求采取合理的方案履行不受不可抗力影响的其他事项。合同各方应通过友好协商在合理的时间内达成进一步履行合同的协议。</w:t>
      </w:r>
    </w:p>
    <w:p>
      <w:pPr>
        <w:pStyle w:val="10"/>
        <w:spacing w:line="380" w:lineRule="exact"/>
        <w:rPr>
          <w:rFonts w:eastAsia="宋体" w:cs="Times New Roman"/>
          <w:b/>
          <w:color w:val="auto"/>
          <w:sz w:val="21"/>
          <w:szCs w:val="21"/>
          <w:highlight w:val="none"/>
        </w:rPr>
      </w:pPr>
      <w:bookmarkStart w:id="39" w:name="_Toc60840798"/>
      <w:bookmarkStart w:id="40" w:name="_Toc8251073"/>
      <w:bookmarkStart w:id="41" w:name="_Toc8282805"/>
      <w:r>
        <w:rPr>
          <w:rFonts w:eastAsia="宋体" w:cs="Times New Roman"/>
          <w:b/>
          <w:color w:val="auto"/>
          <w:sz w:val="21"/>
          <w:szCs w:val="21"/>
          <w:highlight w:val="none"/>
        </w:rPr>
        <w:t>1</w:t>
      </w:r>
      <w:r>
        <w:rPr>
          <w:rFonts w:hint="eastAsia" w:eastAsia="宋体" w:cs="Times New Roman"/>
          <w:b/>
          <w:color w:val="auto"/>
          <w:sz w:val="21"/>
          <w:szCs w:val="21"/>
          <w:highlight w:val="none"/>
          <w:lang w:val="en-US" w:eastAsia="zh-CN"/>
        </w:rPr>
        <w:t>4</w:t>
      </w:r>
      <w:r>
        <w:rPr>
          <w:rFonts w:eastAsia="宋体" w:cs="Times New Roman"/>
          <w:b/>
          <w:color w:val="auto"/>
          <w:sz w:val="21"/>
          <w:szCs w:val="21"/>
          <w:highlight w:val="none"/>
        </w:rPr>
        <w:t>．争端的解决</w:t>
      </w:r>
      <w:bookmarkEnd w:id="39"/>
      <w:bookmarkEnd w:id="40"/>
      <w:bookmarkEnd w:id="41"/>
    </w:p>
    <w:p>
      <w:pPr>
        <w:shd w:val="clear" w:color="auto" w:fill="FFFFFF"/>
        <w:spacing w:line="380" w:lineRule="exact"/>
        <w:ind w:firstLine="480"/>
        <w:rPr>
          <w:color w:val="auto"/>
          <w:szCs w:val="21"/>
          <w:highlight w:val="none"/>
        </w:rPr>
      </w:pPr>
      <w:r>
        <w:rPr>
          <w:color w:val="auto"/>
          <w:szCs w:val="21"/>
          <w:highlight w:val="none"/>
        </w:rPr>
        <w:t>1</w:t>
      </w:r>
      <w:r>
        <w:rPr>
          <w:rFonts w:hint="eastAsia"/>
          <w:color w:val="auto"/>
          <w:szCs w:val="21"/>
          <w:highlight w:val="none"/>
          <w:lang w:val="en-US" w:eastAsia="zh-CN"/>
        </w:rPr>
        <w:t>4</w:t>
      </w:r>
      <w:r>
        <w:rPr>
          <w:color w:val="auto"/>
          <w:szCs w:val="21"/>
          <w:highlight w:val="none"/>
        </w:rPr>
        <w:t>.1合同各方应通过友好协商，解决在执行本合同过程中所发生的或与本合同有关的一切争端。如从协商开始十天内仍不能解决，可以向提请调解。</w:t>
      </w:r>
    </w:p>
    <w:p>
      <w:pPr>
        <w:shd w:val="clear" w:color="auto" w:fill="FFFFFF"/>
        <w:spacing w:line="380" w:lineRule="exact"/>
        <w:ind w:firstLine="480"/>
        <w:rPr>
          <w:color w:val="auto"/>
          <w:szCs w:val="21"/>
          <w:highlight w:val="none"/>
        </w:rPr>
      </w:pPr>
      <w:r>
        <w:rPr>
          <w:color w:val="auto"/>
          <w:szCs w:val="21"/>
          <w:highlight w:val="none"/>
        </w:rPr>
        <w:t>1</w:t>
      </w:r>
      <w:r>
        <w:rPr>
          <w:rFonts w:hint="eastAsia"/>
          <w:color w:val="auto"/>
          <w:szCs w:val="21"/>
          <w:highlight w:val="none"/>
          <w:lang w:val="en-US" w:eastAsia="zh-CN"/>
        </w:rPr>
        <w:t>4</w:t>
      </w:r>
      <w:r>
        <w:rPr>
          <w:color w:val="auto"/>
          <w:szCs w:val="21"/>
          <w:highlight w:val="none"/>
        </w:rPr>
        <w:t>.2调解不成则提交仲裁，仲裁应由上海仲裁委员会根据其仲裁规则和程序进行。</w:t>
      </w:r>
    </w:p>
    <w:p>
      <w:pPr>
        <w:shd w:val="clear" w:color="auto" w:fill="FFFFFF"/>
        <w:spacing w:line="380" w:lineRule="exact"/>
        <w:ind w:firstLine="480"/>
        <w:rPr>
          <w:color w:val="auto"/>
          <w:szCs w:val="21"/>
          <w:highlight w:val="none"/>
        </w:rPr>
      </w:pPr>
      <w:r>
        <w:rPr>
          <w:color w:val="auto"/>
          <w:szCs w:val="21"/>
          <w:highlight w:val="none"/>
        </w:rPr>
        <w:t>1</w:t>
      </w:r>
      <w:r>
        <w:rPr>
          <w:rFonts w:hint="eastAsia"/>
          <w:color w:val="auto"/>
          <w:szCs w:val="21"/>
          <w:highlight w:val="none"/>
          <w:lang w:val="en-US" w:eastAsia="zh-CN"/>
        </w:rPr>
        <w:t>4</w:t>
      </w:r>
      <w:r>
        <w:rPr>
          <w:color w:val="auto"/>
          <w:szCs w:val="21"/>
          <w:highlight w:val="none"/>
        </w:rPr>
        <w:t>.3在仲裁期间，除正在进行仲裁的部分外，本合同的其它部分应继续执行。</w:t>
      </w:r>
    </w:p>
    <w:p>
      <w:pPr>
        <w:pStyle w:val="10"/>
        <w:spacing w:line="380" w:lineRule="exact"/>
        <w:rPr>
          <w:rFonts w:eastAsia="宋体" w:cs="Times New Roman"/>
          <w:b/>
          <w:color w:val="auto"/>
          <w:sz w:val="21"/>
          <w:szCs w:val="21"/>
          <w:highlight w:val="none"/>
        </w:rPr>
      </w:pPr>
      <w:bookmarkStart w:id="42" w:name="_Toc60840799"/>
      <w:bookmarkStart w:id="43" w:name="_Toc8251074"/>
      <w:bookmarkStart w:id="44" w:name="_Toc8282806"/>
      <w:r>
        <w:rPr>
          <w:rFonts w:eastAsia="宋体" w:cs="Times New Roman"/>
          <w:b/>
          <w:color w:val="auto"/>
          <w:sz w:val="21"/>
          <w:szCs w:val="21"/>
          <w:highlight w:val="none"/>
        </w:rPr>
        <w:t>1</w:t>
      </w:r>
      <w:r>
        <w:rPr>
          <w:rFonts w:hint="eastAsia" w:eastAsia="宋体" w:cs="Times New Roman"/>
          <w:b/>
          <w:color w:val="auto"/>
          <w:sz w:val="21"/>
          <w:szCs w:val="21"/>
          <w:highlight w:val="none"/>
          <w:lang w:val="en-US" w:eastAsia="zh-CN"/>
        </w:rPr>
        <w:t>5</w:t>
      </w:r>
      <w:r>
        <w:rPr>
          <w:rFonts w:eastAsia="宋体" w:cs="Times New Roman"/>
          <w:b/>
          <w:color w:val="auto"/>
          <w:sz w:val="21"/>
          <w:szCs w:val="21"/>
          <w:highlight w:val="none"/>
        </w:rPr>
        <w:t>．违约终止合同</w:t>
      </w:r>
      <w:bookmarkEnd w:id="42"/>
      <w:bookmarkEnd w:id="43"/>
      <w:bookmarkEnd w:id="44"/>
    </w:p>
    <w:p>
      <w:pPr>
        <w:shd w:val="clear" w:color="auto" w:fill="FFFFFF"/>
        <w:spacing w:line="380" w:lineRule="exact"/>
        <w:ind w:firstLine="480"/>
        <w:rPr>
          <w:color w:val="auto"/>
          <w:szCs w:val="21"/>
          <w:highlight w:val="none"/>
        </w:rPr>
      </w:pPr>
      <w:r>
        <w:rPr>
          <w:color w:val="auto"/>
          <w:szCs w:val="21"/>
          <w:highlight w:val="none"/>
        </w:rPr>
        <w:t>1</w:t>
      </w:r>
      <w:r>
        <w:rPr>
          <w:rFonts w:hint="eastAsia"/>
          <w:color w:val="auto"/>
          <w:szCs w:val="21"/>
          <w:highlight w:val="none"/>
          <w:lang w:val="en-US" w:eastAsia="zh-CN"/>
        </w:rPr>
        <w:t>5</w:t>
      </w:r>
      <w:r>
        <w:rPr>
          <w:color w:val="auto"/>
          <w:szCs w:val="21"/>
          <w:highlight w:val="none"/>
        </w:rPr>
        <w:t>.1在买方对卖方违约而采取的任何补救措施不受影响的情况下，买方可在下列情况下向卖方发出书面通知书，提出终止部分或全部合同。</w:t>
      </w:r>
    </w:p>
    <w:p>
      <w:pPr>
        <w:shd w:val="clear" w:color="auto" w:fill="FFFFFF"/>
        <w:spacing w:line="380" w:lineRule="exact"/>
        <w:ind w:left="1418" w:hanging="851"/>
        <w:rPr>
          <w:color w:val="auto"/>
          <w:szCs w:val="21"/>
          <w:highlight w:val="none"/>
        </w:rPr>
      </w:pPr>
      <w:r>
        <w:rPr>
          <w:color w:val="auto"/>
          <w:szCs w:val="21"/>
          <w:highlight w:val="none"/>
        </w:rPr>
        <w:t>（1）如果卖方未能在合同规定的限期或买方同意延长的限期内提供部分或全部货物。</w:t>
      </w:r>
    </w:p>
    <w:p>
      <w:pPr>
        <w:shd w:val="clear" w:color="auto" w:fill="FFFFFF"/>
        <w:spacing w:line="380" w:lineRule="exact"/>
        <w:ind w:left="1418" w:hanging="851"/>
        <w:rPr>
          <w:color w:val="auto"/>
          <w:szCs w:val="21"/>
          <w:highlight w:val="none"/>
        </w:rPr>
      </w:pPr>
      <w:r>
        <w:rPr>
          <w:color w:val="auto"/>
          <w:szCs w:val="21"/>
          <w:highlight w:val="none"/>
        </w:rPr>
        <w:t>（2）如果卖方未能履行合同规定的其它任何义务。</w:t>
      </w:r>
    </w:p>
    <w:p>
      <w:pPr>
        <w:shd w:val="clear" w:color="auto" w:fill="FFFFFF"/>
        <w:spacing w:line="380" w:lineRule="exact"/>
        <w:ind w:firstLine="480"/>
        <w:rPr>
          <w:color w:val="auto"/>
          <w:szCs w:val="21"/>
          <w:highlight w:val="none"/>
        </w:rPr>
      </w:pPr>
      <w:r>
        <w:rPr>
          <w:color w:val="auto"/>
          <w:szCs w:val="21"/>
          <w:highlight w:val="none"/>
        </w:rPr>
        <w:t>1</w:t>
      </w:r>
      <w:r>
        <w:rPr>
          <w:rFonts w:hint="eastAsia"/>
          <w:color w:val="auto"/>
          <w:szCs w:val="21"/>
          <w:highlight w:val="none"/>
          <w:lang w:val="en-US" w:eastAsia="zh-CN"/>
        </w:rPr>
        <w:t>5</w:t>
      </w:r>
      <w:r>
        <w:rPr>
          <w:color w:val="auto"/>
          <w:szCs w:val="21"/>
          <w:highlight w:val="none"/>
        </w:rPr>
        <w:t>.2如果买方根据上述1</w:t>
      </w:r>
      <w:r>
        <w:rPr>
          <w:rFonts w:hint="eastAsia"/>
          <w:color w:val="auto"/>
          <w:szCs w:val="21"/>
          <w:highlight w:val="none"/>
          <w:lang w:val="en-US" w:eastAsia="zh-CN"/>
        </w:rPr>
        <w:t>5</w:t>
      </w:r>
      <w:r>
        <w:rPr>
          <w:color w:val="auto"/>
          <w:szCs w:val="21"/>
          <w:highlight w:val="none"/>
        </w:rPr>
        <w:t>.1款的规定，终止了全部或部分合同，买方可以依其认为适当的条件和方法购买与未交货物类似的货物，卖方应对购买类似货物所超出的那部分费用负责。但是，卖方应继续执行合同中未终止的部分。</w:t>
      </w:r>
    </w:p>
    <w:p>
      <w:pPr>
        <w:shd w:val="clear" w:color="auto" w:fill="FFFFFF"/>
        <w:spacing w:line="380" w:lineRule="exact"/>
        <w:ind w:firstLine="480"/>
        <w:rPr>
          <w:color w:val="auto"/>
          <w:szCs w:val="21"/>
          <w:highlight w:val="none"/>
        </w:rPr>
      </w:pPr>
      <w:r>
        <w:rPr>
          <w:color w:val="auto"/>
          <w:szCs w:val="21"/>
          <w:highlight w:val="none"/>
        </w:rPr>
        <w:t>1</w:t>
      </w:r>
      <w:r>
        <w:rPr>
          <w:rFonts w:hint="eastAsia"/>
          <w:color w:val="auto"/>
          <w:szCs w:val="21"/>
          <w:highlight w:val="none"/>
          <w:lang w:val="en-US" w:eastAsia="zh-CN"/>
        </w:rPr>
        <w:t>5</w:t>
      </w:r>
      <w:r>
        <w:rPr>
          <w:color w:val="auto"/>
          <w:szCs w:val="21"/>
          <w:highlight w:val="none"/>
        </w:rPr>
        <w:t>.3如果卖方在履行合同过程中有不正当竞争行为，买方有权解除合同，并按《中华人民共和国反不正当法》之规定由有关部门追究其法律责任。</w:t>
      </w:r>
    </w:p>
    <w:p>
      <w:pPr>
        <w:pStyle w:val="10"/>
        <w:spacing w:line="380" w:lineRule="exact"/>
        <w:rPr>
          <w:rFonts w:eastAsia="宋体" w:cs="Times New Roman"/>
          <w:b/>
          <w:color w:val="auto"/>
          <w:sz w:val="21"/>
          <w:szCs w:val="21"/>
          <w:highlight w:val="none"/>
        </w:rPr>
      </w:pPr>
      <w:bookmarkStart w:id="45" w:name="_Toc8282807"/>
      <w:bookmarkStart w:id="46" w:name="_Toc60840800"/>
      <w:bookmarkStart w:id="47" w:name="_Toc8251075"/>
      <w:r>
        <w:rPr>
          <w:rFonts w:eastAsia="宋体" w:cs="Times New Roman"/>
          <w:b/>
          <w:color w:val="auto"/>
          <w:sz w:val="21"/>
          <w:szCs w:val="21"/>
          <w:highlight w:val="none"/>
        </w:rPr>
        <w:t>1</w:t>
      </w:r>
      <w:r>
        <w:rPr>
          <w:rFonts w:hint="eastAsia" w:eastAsia="宋体" w:cs="Times New Roman"/>
          <w:b/>
          <w:color w:val="auto"/>
          <w:sz w:val="21"/>
          <w:szCs w:val="21"/>
          <w:highlight w:val="none"/>
          <w:lang w:val="en-US" w:eastAsia="zh-CN"/>
        </w:rPr>
        <w:t>6</w:t>
      </w:r>
      <w:r>
        <w:rPr>
          <w:rFonts w:eastAsia="宋体" w:cs="Times New Roman"/>
          <w:b/>
          <w:color w:val="auto"/>
          <w:sz w:val="21"/>
          <w:szCs w:val="21"/>
          <w:highlight w:val="none"/>
        </w:rPr>
        <w:t>．破产终止合同</w:t>
      </w:r>
      <w:bookmarkEnd w:id="45"/>
      <w:bookmarkEnd w:id="46"/>
      <w:bookmarkEnd w:id="47"/>
    </w:p>
    <w:p>
      <w:pPr>
        <w:shd w:val="clear" w:color="auto" w:fill="FFFFFF"/>
        <w:spacing w:line="380" w:lineRule="exact"/>
        <w:ind w:firstLine="480"/>
        <w:rPr>
          <w:color w:val="auto"/>
          <w:szCs w:val="21"/>
          <w:highlight w:val="none"/>
        </w:rPr>
      </w:pPr>
      <w:r>
        <w:rPr>
          <w:color w:val="auto"/>
          <w:szCs w:val="21"/>
          <w:highlight w:val="none"/>
        </w:rPr>
        <w:t>1</w:t>
      </w:r>
      <w:r>
        <w:rPr>
          <w:rFonts w:hint="eastAsia"/>
          <w:color w:val="auto"/>
          <w:szCs w:val="21"/>
          <w:highlight w:val="none"/>
          <w:lang w:val="en-US" w:eastAsia="zh-CN"/>
        </w:rPr>
        <w:t>6</w:t>
      </w:r>
      <w:r>
        <w:rPr>
          <w:color w:val="auto"/>
          <w:szCs w:val="21"/>
          <w:highlight w:val="none"/>
        </w:rPr>
        <w:t>.1如果卖方破产或丧失清偿能力，买方可在任何时候以书面形式通知卖方终止合同而不给卖方补偿。该终止合同将不损害或影响买方已经采取或将要采取任何行动或补救措施的权利。</w:t>
      </w:r>
    </w:p>
    <w:p>
      <w:pPr>
        <w:pStyle w:val="10"/>
        <w:spacing w:line="380" w:lineRule="exact"/>
        <w:rPr>
          <w:rFonts w:eastAsia="宋体" w:cs="Times New Roman"/>
          <w:b/>
          <w:color w:val="auto"/>
          <w:sz w:val="21"/>
          <w:szCs w:val="21"/>
          <w:highlight w:val="none"/>
        </w:rPr>
      </w:pPr>
      <w:bookmarkStart w:id="48" w:name="_Toc8251076"/>
      <w:bookmarkStart w:id="49" w:name="_Toc8282808"/>
      <w:bookmarkStart w:id="50" w:name="_Toc60840801"/>
      <w:r>
        <w:rPr>
          <w:rFonts w:eastAsia="宋体" w:cs="Times New Roman"/>
          <w:b/>
          <w:color w:val="auto"/>
          <w:sz w:val="21"/>
          <w:szCs w:val="21"/>
          <w:highlight w:val="none"/>
        </w:rPr>
        <w:t>1</w:t>
      </w:r>
      <w:r>
        <w:rPr>
          <w:rFonts w:hint="eastAsia" w:eastAsia="宋体" w:cs="Times New Roman"/>
          <w:b/>
          <w:color w:val="auto"/>
          <w:sz w:val="21"/>
          <w:szCs w:val="21"/>
          <w:highlight w:val="none"/>
          <w:lang w:val="en-US" w:eastAsia="zh-CN"/>
        </w:rPr>
        <w:t>7</w:t>
      </w:r>
      <w:r>
        <w:rPr>
          <w:rFonts w:eastAsia="宋体" w:cs="Times New Roman"/>
          <w:b/>
          <w:color w:val="auto"/>
          <w:sz w:val="21"/>
          <w:szCs w:val="21"/>
          <w:highlight w:val="none"/>
        </w:rPr>
        <w:t>．合同转让和分包</w:t>
      </w:r>
      <w:bookmarkEnd w:id="48"/>
      <w:bookmarkEnd w:id="49"/>
      <w:bookmarkEnd w:id="50"/>
    </w:p>
    <w:p>
      <w:pPr>
        <w:shd w:val="clear" w:color="auto" w:fill="FFFFFF"/>
        <w:spacing w:line="380" w:lineRule="exact"/>
        <w:ind w:firstLine="480"/>
        <w:rPr>
          <w:color w:val="auto"/>
          <w:szCs w:val="21"/>
          <w:highlight w:val="none"/>
        </w:rPr>
      </w:pPr>
      <w:r>
        <w:rPr>
          <w:color w:val="auto"/>
          <w:szCs w:val="21"/>
          <w:highlight w:val="none"/>
        </w:rPr>
        <w:t>1</w:t>
      </w:r>
      <w:r>
        <w:rPr>
          <w:rFonts w:hint="eastAsia"/>
          <w:color w:val="auto"/>
          <w:szCs w:val="21"/>
          <w:highlight w:val="none"/>
          <w:lang w:val="en-US" w:eastAsia="zh-CN"/>
        </w:rPr>
        <w:t>7</w:t>
      </w:r>
      <w:r>
        <w:rPr>
          <w:color w:val="auto"/>
          <w:szCs w:val="21"/>
          <w:highlight w:val="none"/>
        </w:rPr>
        <w:t>.1除买方事先书面同意外，卖方不得部分转让和分包或全部转让和分包其应履行的合同义务。</w:t>
      </w:r>
    </w:p>
    <w:p>
      <w:pPr>
        <w:pStyle w:val="10"/>
        <w:spacing w:line="380" w:lineRule="exact"/>
        <w:rPr>
          <w:rFonts w:eastAsia="宋体" w:cs="Times New Roman"/>
          <w:b/>
          <w:color w:val="auto"/>
          <w:sz w:val="21"/>
          <w:szCs w:val="21"/>
          <w:highlight w:val="none"/>
        </w:rPr>
      </w:pPr>
      <w:bookmarkStart w:id="51" w:name="_Toc8251077"/>
      <w:bookmarkStart w:id="52" w:name="_Toc8282809"/>
      <w:bookmarkStart w:id="53" w:name="_Toc60840802"/>
      <w:r>
        <w:rPr>
          <w:rFonts w:eastAsia="宋体" w:cs="Times New Roman"/>
          <w:b/>
          <w:color w:val="auto"/>
          <w:sz w:val="21"/>
          <w:szCs w:val="21"/>
          <w:highlight w:val="none"/>
        </w:rPr>
        <w:t>1</w:t>
      </w:r>
      <w:r>
        <w:rPr>
          <w:rFonts w:hint="eastAsia" w:eastAsia="宋体" w:cs="Times New Roman"/>
          <w:b/>
          <w:color w:val="auto"/>
          <w:sz w:val="21"/>
          <w:szCs w:val="21"/>
          <w:highlight w:val="none"/>
          <w:lang w:val="en-US" w:eastAsia="zh-CN"/>
        </w:rPr>
        <w:t>8</w:t>
      </w:r>
      <w:r>
        <w:rPr>
          <w:rFonts w:eastAsia="宋体" w:cs="Times New Roman"/>
          <w:b/>
          <w:color w:val="auto"/>
          <w:sz w:val="21"/>
          <w:szCs w:val="21"/>
          <w:highlight w:val="none"/>
        </w:rPr>
        <w:t>．合同生效</w:t>
      </w:r>
      <w:bookmarkEnd w:id="51"/>
      <w:bookmarkEnd w:id="52"/>
      <w:bookmarkEnd w:id="53"/>
    </w:p>
    <w:p>
      <w:pPr>
        <w:shd w:val="clear" w:color="auto" w:fill="FFFFFF"/>
        <w:spacing w:line="380" w:lineRule="exact"/>
        <w:ind w:firstLine="480"/>
        <w:rPr>
          <w:color w:val="auto"/>
          <w:szCs w:val="21"/>
          <w:highlight w:val="none"/>
        </w:rPr>
      </w:pPr>
      <w:r>
        <w:rPr>
          <w:color w:val="auto"/>
          <w:szCs w:val="21"/>
          <w:highlight w:val="none"/>
        </w:rPr>
        <w:t>1</w:t>
      </w:r>
      <w:r>
        <w:rPr>
          <w:rFonts w:hint="eastAsia"/>
          <w:color w:val="auto"/>
          <w:szCs w:val="21"/>
          <w:highlight w:val="none"/>
          <w:lang w:val="en-US" w:eastAsia="zh-CN"/>
        </w:rPr>
        <w:t>8</w:t>
      </w:r>
      <w:r>
        <w:rPr>
          <w:rFonts w:hint="eastAsia"/>
          <w:color w:val="auto"/>
          <w:szCs w:val="21"/>
          <w:highlight w:val="none"/>
        </w:rPr>
        <w:t>.</w:t>
      </w:r>
      <w:r>
        <w:rPr>
          <w:color w:val="auto"/>
          <w:szCs w:val="21"/>
          <w:highlight w:val="none"/>
        </w:rPr>
        <w:t>1本合同在合同各方签字盖章并且在买方收到卖方提供的履约保证金后生效。</w:t>
      </w:r>
    </w:p>
    <w:p>
      <w:pPr>
        <w:shd w:val="clear" w:color="auto" w:fill="FFFFFF"/>
        <w:spacing w:line="380" w:lineRule="exact"/>
        <w:ind w:firstLine="480"/>
        <w:rPr>
          <w:color w:val="auto"/>
          <w:szCs w:val="21"/>
          <w:highlight w:val="none"/>
        </w:rPr>
      </w:pPr>
      <w:r>
        <w:rPr>
          <w:color w:val="auto"/>
          <w:szCs w:val="21"/>
          <w:highlight w:val="none"/>
        </w:rPr>
        <w:t>1</w:t>
      </w:r>
      <w:r>
        <w:rPr>
          <w:rFonts w:hint="eastAsia"/>
          <w:color w:val="auto"/>
          <w:szCs w:val="21"/>
          <w:highlight w:val="none"/>
          <w:lang w:val="en-US" w:eastAsia="zh-CN"/>
        </w:rPr>
        <w:t>8</w:t>
      </w:r>
      <w:r>
        <w:rPr>
          <w:rFonts w:hint="eastAsia"/>
          <w:color w:val="auto"/>
          <w:szCs w:val="21"/>
          <w:highlight w:val="none"/>
        </w:rPr>
        <w:t>.</w:t>
      </w:r>
      <w:r>
        <w:rPr>
          <w:color w:val="auto"/>
          <w:szCs w:val="21"/>
          <w:highlight w:val="none"/>
        </w:rPr>
        <w:t>2本合同一式份，以中文书就，签字各方各执一份，一份报备案。</w:t>
      </w:r>
    </w:p>
    <w:p>
      <w:pPr>
        <w:pStyle w:val="10"/>
        <w:spacing w:line="380" w:lineRule="exact"/>
        <w:rPr>
          <w:rFonts w:eastAsia="宋体" w:cs="Times New Roman"/>
          <w:b/>
          <w:color w:val="auto"/>
          <w:sz w:val="21"/>
          <w:szCs w:val="21"/>
          <w:highlight w:val="none"/>
        </w:rPr>
      </w:pPr>
      <w:bookmarkStart w:id="54" w:name="_Toc8251078"/>
      <w:bookmarkStart w:id="55" w:name="_Toc8282810"/>
      <w:bookmarkStart w:id="56" w:name="_Toc60840803"/>
      <w:r>
        <w:rPr>
          <w:rFonts w:hint="eastAsia" w:eastAsia="宋体" w:cs="Times New Roman"/>
          <w:b/>
          <w:color w:val="auto"/>
          <w:sz w:val="21"/>
          <w:szCs w:val="21"/>
          <w:highlight w:val="none"/>
          <w:lang w:val="en-US" w:eastAsia="zh-CN"/>
        </w:rPr>
        <w:t>19</w:t>
      </w:r>
      <w:r>
        <w:rPr>
          <w:rFonts w:eastAsia="宋体" w:cs="Times New Roman"/>
          <w:b/>
          <w:color w:val="auto"/>
          <w:sz w:val="21"/>
          <w:szCs w:val="21"/>
          <w:highlight w:val="none"/>
        </w:rPr>
        <w:t>.合同附件</w:t>
      </w:r>
      <w:bookmarkEnd w:id="54"/>
      <w:bookmarkEnd w:id="55"/>
      <w:bookmarkEnd w:id="56"/>
    </w:p>
    <w:p>
      <w:pPr>
        <w:shd w:val="clear" w:color="auto" w:fill="FFFFFF"/>
        <w:spacing w:line="380" w:lineRule="exact"/>
        <w:ind w:firstLine="480"/>
        <w:rPr>
          <w:color w:val="auto"/>
          <w:szCs w:val="21"/>
          <w:highlight w:val="none"/>
        </w:rPr>
      </w:pPr>
      <w:r>
        <w:rPr>
          <w:rFonts w:hint="eastAsia"/>
          <w:color w:val="auto"/>
          <w:szCs w:val="21"/>
          <w:highlight w:val="none"/>
          <w:lang w:val="en-US" w:eastAsia="zh-CN"/>
        </w:rPr>
        <w:t>19</w:t>
      </w:r>
      <w:r>
        <w:rPr>
          <w:color w:val="auto"/>
          <w:szCs w:val="21"/>
          <w:highlight w:val="none"/>
        </w:rPr>
        <w:t>.1本合同附件包括：</w:t>
      </w:r>
    </w:p>
    <w:p>
      <w:pPr>
        <w:shd w:val="clear" w:color="auto" w:fill="FFFFFF"/>
        <w:spacing w:line="380" w:lineRule="exact"/>
        <w:ind w:firstLine="480"/>
        <w:rPr>
          <w:color w:val="auto"/>
          <w:szCs w:val="21"/>
          <w:highlight w:val="none"/>
        </w:rPr>
      </w:pPr>
      <w:r>
        <w:rPr>
          <w:rFonts w:hint="eastAsia"/>
          <w:color w:val="auto"/>
          <w:szCs w:val="21"/>
          <w:highlight w:val="none"/>
          <w:lang w:val="en-US" w:eastAsia="zh-CN"/>
        </w:rPr>
        <w:t>19</w:t>
      </w:r>
      <w:r>
        <w:rPr>
          <w:color w:val="auto"/>
          <w:szCs w:val="21"/>
          <w:highlight w:val="none"/>
        </w:rPr>
        <w:t>.2本合同附件与合同具有同等效力。</w:t>
      </w:r>
    </w:p>
    <w:p>
      <w:pPr>
        <w:shd w:val="clear" w:color="auto" w:fill="FFFFFF"/>
        <w:spacing w:line="380" w:lineRule="exact"/>
        <w:ind w:firstLine="480"/>
        <w:rPr>
          <w:color w:val="auto"/>
          <w:szCs w:val="21"/>
          <w:highlight w:val="none"/>
        </w:rPr>
      </w:pPr>
      <w:r>
        <w:rPr>
          <w:rFonts w:hint="eastAsia"/>
          <w:color w:val="auto"/>
          <w:szCs w:val="21"/>
          <w:highlight w:val="none"/>
          <w:lang w:val="en-US" w:eastAsia="zh-CN"/>
        </w:rPr>
        <w:t>19</w:t>
      </w:r>
      <w:r>
        <w:rPr>
          <w:color w:val="auto"/>
          <w:szCs w:val="21"/>
          <w:highlight w:val="none"/>
        </w:rPr>
        <w:t>.3合同文件应能相互解释，互为说明。若合同文件之间有矛盾，则以最新的文件为准。</w:t>
      </w:r>
    </w:p>
    <w:p>
      <w:pPr>
        <w:pStyle w:val="10"/>
        <w:spacing w:line="380" w:lineRule="exact"/>
        <w:rPr>
          <w:rFonts w:eastAsia="宋体" w:cs="Times New Roman"/>
          <w:b/>
          <w:color w:val="auto"/>
          <w:sz w:val="21"/>
          <w:szCs w:val="21"/>
          <w:highlight w:val="none"/>
        </w:rPr>
      </w:pPr>
      <w:bookmarkStart w:id="57" w:name="_Toc8251079"/>
      <w:bookmarkStart w:id="58" w:name="_Toc8282811"/>
      <w:bookmarkStart w:id="59" w:name="_Toc60840804"/>
      <w:r>
        <w:rPr>
          <w:rFonts w:hint="eastAsia" w:eastAsia="宋体" w:cs="Times New Roman"/>
          <w:b/>
          <w:color w:val="auto"/>
          <w:sz w:val="21"/>
          <w:szCs w:val="21"/>
          <w:highlight w:val="none"/>
          <w:lang w:val="en-US" w:eastAsia="zh-CN"/>
        </w:rPr>
        <w:t>20</w:t>
      </w:r>
      <w:r>
        <w:rPr>
          <w:rFonts w:eastAsia="宋体" w:cs="Times New Roman"/>
          <w:b/>
          <w:color w:val="auto"/>
          <w:sz w:val="21"/>
          <w:szCs w:val="21"/>
          <w:highlight w:val="none"/>
        </w:rPr>
        <w:t>．合同修改</w:t>
      </w:r>
      <w:bookmarkEnd w:id="57"/>
      <w:bookmarkEnd w:id="58"/>
      <w:bookmarkEnd w:id="59"/>
    </w:p>
    <w:p>
      <w:pPr>
        <w:shd w:val="clear" w:color="auto" w:fill="FFFFFF"/>
        <w:spacing w:line="380" w:lineRule="exact"/>
        <w:ind w:firstLine="480"/>
        <w:rPr>
          <w:color w:val="auto"/>
          <w:szCs w:val="21"/>
          <w:highlight w:val="none"/>
        </w:rPr>
      </w:pPr>
      <w:r>
        <w:rPr>
          <w:color w:val="auto"/>
          <w:szCs w:val="21"/>
          <w:highlight w:val="none"/>
        </w:rPr>
        <w:t>2</w:t>
      </w:r>
      <w:r>
        <w:rPr>
          <w:rFonts w:hint="eastAsia"/>
          <w:color w:val="auto"/>
          <w:szCs w:val="21"/>
          <w:highlight w:val="none"/>
          <w:lang w:val="en-US" w:eastAsia="zh-CN"/>
        </w:rPr>
        <w:t>0</w:t>
      </w:r>
      <w:r>
        <w:rPr>
          <w:color w:val="auto"/>
          <w:szCs w:val="21"/>
          <w:highlight w:val="none"/>
        </w:rPr>
        <w:t>.1除了双方签署书面修改协议，并成为本合同不可分割的一部分之外，本合同条件不得有任何变化或修改。</w:t>
      </w:r>
    </w:p>
    <w:p>
      <w:pPr>
        <w:shd w:val="clear" w:color="auto" w:fill="FFFFFF"/>
        <w:spacing w:line="360" w:lineRule="auto"/>
        <w:rPr>
          <w:b/>
          <w:bCs/>
          <w:color w:val="auto"/>
          <w:szCs w:val="21"/>
          <w:highlight w:val="none"/>
        </w:rPr>
      </w:pPr>
    </w:p>
    <w:p>
      <w:pPr>
        <w:shd w:val="clear" w:color="auto" w:fill="FFFFFF"/>
        <w:spacing w:line="360" w:lineRule="auto"/>
        <w:rPr>
          <w:b/>
          <w:color w:val="auto"/>
          <w:szCs w:val="21"/>
          <w:highlight w:val="none"/>
        </w:rPr>
      </w:pPr>
      <w:r>
        <w:rPr>
          <w:b/>
          <w:color w:val="auto"/>
          <w:szCs w:val="21"/>
          <w:highlight w:val="none"/>
        </w:rPr>
        <w:t>签约各方：</w:t>
      </w:r>
    </w:p>
    <w:p>
      <w:pPr>
        <w:shd w:val="clear" w:color="auto" w:fill="FFFFFF"/>
        <w:spacing w:line="360" w:lineRule="auto"/>
        <w:rPr>
          <w:color w:val="auto"/>
          <w:szCs w:val="21"/>
          <w:highlight w:val="none"/>
        </w:rPr>
      </w:pPr>
    </w:p>
    <w:tbl>
      <w:tblPr>
        <w:tblStyle w:val="6"/>
        <w:tblW w:w="9728" w:type="dxa"/>
        <w:tblCellSpacing w:w="15" w:type="dxa"/>
        <w:tblInd w:w="0" w:type="dxa"/>
        <w:shd w:val="clear" w:color="auto" w:fill="FFFFFF"/>
        <w:tblLayout w:type="fixed"/>
        <w:tblCellMar>
          <w:top w:w="0" w:type="dxa"/>
          <w:left w:w="0" w:type="dxa"/>
          <w:bottom w:w="0" w:type="dxa"/>
          <w:right w:w="0" w:type="dxa"/>
        </w:tblCellMar>
      </w:tblPr>
      <w:tblGrid>
        <w:gridCol w:w="4665"/>
        <w:gridCol w:w="199"/>
        <w:gridCol w:w="4650"/>
        <w:gridCol w:w="214"/>
      </w:tblGrid>
      <w:tr>
        <w:tblPrEx>
          <w:shd w:val="clear" w:color="auto" w:fill="FFFFFF"/>
        </w:tblPrEx>
        <w:trPr>
          <w:tblCellSpacing w:w="15" w:type="dxa"/>
        </w:trPr>
        <w:tc>
          <w:tcPr>
            <w:tcW w:w="4620"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r>
              <w:rPr>
                <w:b/>
                <w:bCs/>
                <w:color w:val="auto"/>
                <w:szCs w:val="21"/>
                <w:highlight w:val="none"/>
              </w:rPr>
              <w:t>甲方（盖章）：</w:t>
            </w:r>
          </w:p>
        </w:tc>
        <w:tc>
          <w:tcPr>
            <w:tcW w:w="169"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p>
        </w:tc>
        <w:tc>
          <w:tcPr>
            <w:tcW w:w="4620"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r>
              <w:rPr>
                <w:b/>
                <w:bCs/>
                <w:color w:val="auto"/>
                <w:szCs w:val="21"/>
                <w:highlight w:val="none"/>
              </w:rPr>
              <w:t>乙方（盖章）：</w:t>
            </w:r>
          </w:p>
        </w:tc>
        <w:tc>
          <w:tcPr>
            <w:tcW w:w="169"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p>
        </w:tc>
      </w:tr>
      <w:tr>
        <w:trPr>
          <w:tblCellSpacing w:w="15" w:type="dxa"/>
        </w:trPr>
        <w:tc>
          <w:tcPr>
            <w:tcW w:w="4620"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r>
              <w:rPr>
                <w:b/>
                <w:bCs/>
                <w:color w:val="auto"/>
                <w:szCs w:val="21"/>
                <w:highlight w:val="none"/>
              </w:rPr>
              <w:t>法定代表人</w:t>
            </w:r>
            <w:r>
              <w:rPr>
                <w:rFonts w:hint="eastAsia"/>
                <w:b/>
                <w:bCs/>
                <w:color w:val="auto"/>
                <w:szCs w:val="21"/>
                <w:highlight w:val="none"/>
                <w:lang w:eastAsia="zh-CN"/>
              </w:rPr>
              <w:t>或授权代理人</w:t>
            </w:r>
            <w:r>
              <w:rPr>
                <w:b/>
                <w:bCs/>
                <w:color w:val="auto"/>
                <w:szCs w:val="21"/>
                <w:highlight w:val="none"/>
              </w:rPr>
              <w:t>（签章）：</w:t>
            </w:r>
          </w:p>
        </w:tc>
        <w:tc>
          <w:tcPr>
            <w:tcW w:w="169"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p>
        </w:tc>
        <w:tc>
          <w:tcPr>
            <w:tcW w:w="4620"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r>
              <w:rPr>
                <w:b/>
                <w:bCs/>
                <w:color w:val="auto"/>
                <w:szCs w:val="21"/>
                <w:highlight w:val="none"/>
              </w:rPr>
              <w:t>法定代表人</w:t>
            </w:r>
            <w:r>
              <w:rPr>
                <w:rFonts w:hint="eastAsia"/>
                <w:b/>
                <w:bCs/>
                <w:color w:val="auto"/>
                <w:szCs w:val="21"/>
                <w:highlight w:val="none"/>
                <w:lang w:eastAsia="zh-CN"/>
              </w:rPr>
              <w:t>或授权代理人</w:t>
            </w:r>
            <w:r>
              <w:rPr>
                <w:b/>
                <w:bCs/>
                <w:color w:val="auto"/>
                <w:szCs w:val="21"/>
                <w:highlight w:val="none"/>
              </w:rPr>
              <w:t>（签章）：</w:t>
            </w:r>
          </w:p>
        </w:tc>
        <w:tc>
          <w:tcPr>
            <w:tcW w:w="169"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p>
        </w:tc>
      </w:tr>
      <w:tr>
        <w:trPr>
          <w:tblCellSpacing w:w="15" w:type="dxa"/>
        </w:trPr>
        <w:tc>
          <w:tcPr>
            <w:tcW w:w="4620"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r>
              <w:rPr>
                <w:b/>
                <w:bCs/>
                <w:color w:val="auto"/>
                <w:szCs w:val="21"/>
                <w:highlight w:val="none"/>
              </w:rPr>
              <w:t>合同签订地点：</w:t>
            </w:r>
          </w:p>
        </w:tc>
        <w:tc>
          <w:tcPr>
            <w:tcW w:w="169"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p>
        </w:tc>
        <w:tc>
          <w:tcPr>
            <w:tcW w:w="4620"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r>
              <w:rPr>
                <w:b/>
                <w:bCs/>
                <w:color w:val="auto"/>
                <w:szCs w:val="21"/>
                <w:highlight w:val="none"/>
              </w:rPr>
              <w:t>合同签订地点：</w:t>
            </w:r>
          </w:p>
        </w:tc>
        <w:tc>
          <w:tcPr>
            <w:tcW w:w="169" w:type="dxa"/>
            <w:tcBorders>
              <w:top w:val="nil"/>
              <w:left w:val="nil"/>
              <w:bottom w:val="nil"/>
              <w:right w:val="nil"/>
            </w:tcBorders>
            <w:shd w:val="clear" w:color="auto" w:fill="FFFFFF"/>
            <w:tcMar>
              <w:top w:w="15" w:type="dxa"/>
              <w:left w:w="15" w:type="dxa"/>
              <w:bottom w:w="15" w:type="dxa"/>
              <w:right w:w="15" w:type="dxa"/>
            </w:tcMar>
            <w:vAlign w:val="center"/>
          </w:tcPr>
          <w:p>
            <w:pPr>
              <w:spacing w:line="360" w:lineRule="auto"/>
              <w:rPr>
                <w:color w:val="auto"/>
                <w:szCs w:val="21"/>
                <w:highlight w:val="none"/>
              </w:rPr>
            </w:pPr>
          </w:p>
        </w:tc>
      </w:tr>
    </w:tbl>
    <w:p>
      <w:pPr>
        <w:widowControl/>
        <w:spacing w:before="100" w:beforeAutospacing="1" w:after="100" w:afterAutospacing="1" w:line="360" w:lineRule="auto"/>
        <w:ind w:firstLine="480"/>
        <w:jc w:val="left"/>
        <w:rPr>
          <w:rFonts w:hint="eastAsia"/>
          <w:b/>
          <w:bCs/>
          <w:color w:val="auto"/>
          <w:szCs w:val="21"/>
          <w:highlight w:val="none"/>
          <w:lang w:eastAsia="zh-CN"/>
        </w:rPr>
      </w:pPr>
      <w:r>
        <w:rPr>
          <w:rFonts w:hint="eastAsia"/>
          <w:b/>
          <w:bCs/>
          <w:color w:val="auto"/>
          <w:szCs w:val="21"/>
          <w:highlight w:val="none"/>
          <w:lang w:eastAsia="zh-CN"/>
        </w:rPr>
        <w:t>日期：</w:t>
      </w:r>
    </w:p>
    <w:p>
      <w:pPr>
        <w:pStyle w:val="5"/>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60" w:lineRule="exact"/>
        <w:ind w:right="0" w:rightChars="0"/>
        <w:jc w:val="left"/>
        <w:textAlignment w:val="auto"/>
        <w:rPr>
          <w:rFonts w:hint="eastAsia" w:ascii="仿宋_GB2312" w:hAnsi="仿宋_GB2312" w:eastAsia="仿宋_GB2312" w:cs="仿宋_GB2312"/>
          <w:i w:val="0"/>
          <w:iCs w:val="0"/>
          <w:caps w:val="0"/>
          <w:color w:val="auto"/>
          <w:spacing w:val="0"/>
          <w:sz w:val="28"/>
          <w:szCs w:val="28"/>
          <w:highlight w:val="none"/>
          <w:lang w:val="en-US" w:eastAsia="zh-CN"/>
        </w:rPr>
      </w:pPr>
    </w:p>
    <w:bookmarkEnd w:id="6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402D58"/>
    <w:multiLevelType w:val="singleLevel"/>
    <w:tmpl w:val="AA402D5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C726BF"/>
    <w:rsid w:val="10345380"/>
    <w:rsid w:val="1D434C33"/>
    <w:rsid w:val="32CF5795"/>
    <w:rsid w:val="3AD78352"/>
    <w:rsid w:val="3FFEFC9B"/>
    <w:rsid w:val="48304234"/>
    <w:rsid w:val="590E0C27"/>
    <w:rsid w:val="5A584D94"/>
    <w:rsid w:val="5FB52C88"/>
    <w:rsid w:val="653349A4"/>
    <w:rsid w:val="69B31FE7"/>
    <w:rsid w:val="6EFA584B"/>
    <w:rsid w:val="6FFFCA2C"/>
    <w:rsid w:val="75CD2785"/>
    <w:rsid w:val="7FB7B864"/>
    <w:rsid w:val="7FFF6DFC"/>
    <w:rsid w:val="97D69FB0"/>
    <w:rsid w:val="AEFFA88A"/>
    <w:rsid w:val="B86F8E3C"/>
    <w:rsid w:val="D75F4473"/>
    <w:rsid w:val="EBD857AB"/>
    <w:rsid w:val="F59D2F68"/>
    <w:rsid w:val="FBF2CE91"/>
    <w:rsid w:val="FE5FC472"/>
    <w:rsid w:val="FFEFC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semiHidden/>
    <w:unhideWhenUsed/>
    <w:qFormat/>
    <w:uiPriority w:val="9"/>
    <w:pPr>
      <w:keepNext/>
      <w:keepLines/>
      <w:spacing w:before="260" w:after="260" w:line="416" w:lineRule="auto"/>
      <w:outlineLvl w:val="2"/>
    </w:pPr>
    <w:rPr>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4">
    <w:name w:val="Body Text 2"/>
    <w:basedOn w:val="1"/>
    <w:unhideWhenUsed/>
    <w:qFormat/>
    <w:uiPriority w:val="0"/>
    <w:pPr>
      <w:spacing w:after="120" w:line="480" w:lineRule="auto"/>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Table Paragraph"/>
    <w:basedOn w:val="1"/>
    <w:qFormat/>
    <w:uiPriority w:val="0"/>
    <w:pPr>
      <w:jc w:val="left"/>
    </w:pPr>
    <w:rPr>
      <w:rFonts w:ascii="Times New Roman" w:hAnsi="Times New Roman" w:eastAsia="Calibri" w:cs="Times New Roman"/>
      <w:kern w:val="0"/>
      <w:sz w:val="22"/>
      <w:szCs w:val="22"/>
      <w:lang w:eastAsia="en-US"/>
    </w:rPr>
  </w:style>
  <w:style w:type="paragraph" w:customStyle="1" w:styleId="1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6431</Words>
  <Characters>6738</Characters>
  <Lines>0</Lines>
  <Paragraphs>0</Paragraphs>
  <TotalTime>23</TotalTime>
  <ScaleCrop>false</ScaleCrop>
  <LinksUpToDate>false</LinksUpToDate>
  <CharactersWithSpaces>6784</CharactersWithSpaces>
  <Application>WPS Office_11.8.2.11717_F1E327BC-269C-435d-A152-05C5408002CA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2026-09-10T00:34:00Z</dcterms:created>
  <dc:creator>fanxiao</dc:creator>
  <cp:lastModifiedBy>user</cp:lastModifiedBy>
  <dcterms:modified xsi:type="dcterms:W3CDTF">2026-09-23T14:59:49Z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KSOTemplateDocerSaveRecord">
    <vt:lpwstr>eyJoZGlkIjoiMzk2MGY1ZjkxODliMjI2MThjYmJmYmRmNWIxY2I5ZjkiLCJ1c2VySWQiOiIyMzU4Njk1NDYifQ==</vt:lpwstr>
  </property>
  <property fmtid="{D5CDD505-2E9C-101B-9397-08002B2CF9AE}" pid="4" name="ICV">
    <vt:lpwstr>2CFCB2D6B29BBD79B13CB36A6A352D32</vt:lpwstr>
  </property>
</Properties>
</file>